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highlight w:val="none"/>
        </w:rPr>
      </w:pPr>
      <w:r>
        <w:rPr>
          <w:rFonts w:hint="eastAsia" w:ascii="宋体" w:hAnsi="宋体" w:eastAsia="宋体" w:cs="宋体"/>
          <w:b/>
          <w:bCs/>
          <w:highlight w:val="none"/>
        </w:rPr>
        <w:t>第二章采购需求</w:t>
      </w:r>
    </w:p>
    <w:p>
      <w:pPr>
        <w:spacing w:line="360" w:lineRule="auto"/>
        <w:rPr>
          <w:rFonts w:ascii="宋体" w:hAnsi="宋体" w:eastAsia="宋体" w:cs="宋体"/>
          <w:highlight w:val="none"/>
        </w:rPr>
      </w:pPr>
    </w:p>
    <w:p>
      <w:pPr>
        <w:numPr>
          <w:ilvl w:val="0"/>
          <w:numId w:val="1"/>
        </w:numPr>
        <w:spacing w:before="65" w:line="360" w:lineRule="auto"/>
        <w:ind w:firstLine="5"/>
        <w:outlineLvl w:val="1"/>
      </w:pPr>
      <w:r>
        <w:rPr>
          <w:rFonts w:hint="eastAsia" w:ascii="宋体" w:hAnsi="宋体" w:eastAsia="宋体" w:cs="宋体"/>
          <w:spacing w:val="10"/>
          <w:highlight w:val="none"/>
        </w:rPr>
        <w:t>项目概况：</w:t>
      </w:r>
    </w:p>
    <w:p>
      <w:pPr>
        <w:spacing w:line="360" w:lineRule="auto"/>
        <w:rPr>
          <w:rFonts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.项目内容及需求情况（采购项目技术规格、参数及要求）</w:t>
      </w:r>
    </w:p>
    <w:p>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采购包1(2023-2025年法医类、痕迹类、声像类司法鉴定服务采购项目):</w:t>
      </w:r>
    </w:p>
    <w:p>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采购包预算金额：</w:t>
      </w:r>
      <w:r>
        <w:rPr>
          <w:rFonts w:hint="eastAsia" w:ascii="宋体" w:hAnsi="宋体" w:eastAsia="宋体" w:cs="宋体"/>
          <w:highlight w:val="none"/>
          <w:lang w:val="en-US" w:eastAsia="zh-CN"/>
        </w:rPr>
        <w:t>7,500,000.00</w:t>
      </w:r>
      <w:r>
        <w:rPr>
          <w:rFonts w:hint="eastAsia" w:ascii="宋体" w:hAnsi="宋体" w:eastAsia="宋体" w:cs="宋体"/>
          <w:highlight w:val="none"/>
        </w:rPr>
        <w:t>元</w:t>
      </w:r>
    </w:p>
    <w:tbl>
      <w:tblPr>
        <w:tblStyle w:val="6"/>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32"/>
        <w:gridCol w:w="1818"/>
        <w:gridCol w:w="2616"/>
        <w:gridCol w:w="943"/>
        <w:gridCol w:w="1300"/>
        <w:gridCol w:w="1271"/>
        <w:gridCol w:w="10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4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品目号</w:t>
            </w:r>
          </w:p>
        </w:tc>
        <w:tc>
          <w:tcPr>
            <w:tcW w:w="980"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品目名称</w:t>
            </w:r>
          </w:p>
        </w:tc>
        <w:tc>
          <w:tcPr>
            <w:tcW w:w="1402"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采购标的</w:t>
            </w:r>
          </w:p>
        </w:tc>
        <w:tc>
          <w:tcPr>
            <w:tcW w:w="51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数量</w:t>
            </w:r>
          </w:p>
          <w:p>
            <w:pPr>
              <w:jc w:val="center"/>
              <w:rPr>
                <w:rFonts w:ascii="宋体" w:hAnsi="宋体" w:eastAsia="宋体" w:cs="宋体"/>
                <w:highlight w:val="none"/>
              </w:rPr>
            </w:pPr>
            <w:r>
              <w:rPr>
                <w:rFonts w:hint="eastAsia" w:ascii="宋体" w:hAnsi="宋体" w:eastAsia="宋体" w:cs="宋体"/>
                <w:highlight w:val="none"/>
              </w:rPr>
              <w:t>（单位）</w:t>
            </w:r>
          </w:p>
        </w:tc>
        <w:tc>
          <w:tcPr>
            <w:tcW w:w="706"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技术规格、参数及要求</w:t>
            </w:r>
          </w:p>
        </w:tc>
        <w:tc>
          <w:tcPr>
            <w:tcW w:w="562"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品目预算(元)</w:t>
            </w:r>
          </w:p>
        </w:tc>
        <w:tc>
          <w:tcPr>
            <w:tcW w:w="583"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是否允许进口产品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47" w:type="pct"/>
            <w:vAlign w:val="center"/>
          </w:tcPr>
          <w:p>
            <w:pPr>
              <w:jc w:val="center"/>
              <w:rPr>
                <w:rFonts w:ascii="宋体" w:hAnsi="宋体" w:eastAsia="宋体" w:cs="宋体"/>
                <w:highlight w:val="none"/>
              </w:rPr>
            </w:pPr>
            <w:r>
              <w:rPr>
                <w:rFonts w:hint="eastAsia" w:ascii="宋体" w:hAnsi="宋体" w:eastAsia="宋体" w:cs="宋体"/>
                <w:highlight w:val="none"/>
              </w:rPr>
              <w:t>1-1</w:t>
            </w:r>
          </w:p>
        </w:tc>
        <w:tc>
          <w:tcPr>
            <w:tcW w:w="980"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 xml:space="preserve">其他专业技术服务   </w:t>
            </w:r>
          </w:p>
        </w:tc>
        <w:tc>
          <w:tcPr>
            <w:tcW w:w="1402" w:type="pct"/>
            <w:vAlign w:val="center"/>
          </w:tcPr>
          <w:p>
            <w:pPr>
              <w:jc w:val="center"/>
              <w:rPr>
                <w:rFonts w:ascii="宋体" w:hAnsi="宋体" w:eastAsia="宋体" w:cs="宋体"/>
                <w:highlight w:val="none"/>
              </w:rPr>
            </w:pPr>
            <w:r>
              <w:rPr>
                <w:rFonts w:hint="eastAsia" w:ascii="宋体" w:hAnsi="宋体" w:eastAsia="宋体" w:cs="宋体"/>
                <w:highlight w:val="none"/>
              </w:rPr>
              <w:t>痕迹类司法鉴定服务</w:t>
            </w:r>
          </w:p>
        </w:tc>
        <w:tc>
          <w:tcPr>
            <w:tcW w:w="517" w:type="pct"/>
            <w:vAlign w:val="center"/>
          </w:tcPr>
          <w:p>
            <w:pPr>
              <w:jc w:val="center"/>
              <w:rPr>
                <w:rFonts w:ascii="宋体" w:hAnsi="宋体" w:eastAsia="宋体" w:cs="宋体"/>
                <w:highlight w:val="none"/>
              </w:rPr>
            </w:pPr>
            <w:r>
              <w:rPr>
                <w:rFonts w:hint="eastAsia" w:ascii="宋体" w:hAnsi="宋体" w:eastAsia="宋体" w:cs="宋体"/>
                <w:highlight w:val="none"/>
              </w:rPr>
              <w:t>1.00(项)</w:t>
            </w:r>
          </w:p>
        </w:tc>
        <w:tc>
          <w:tcPr>
            <w:tcW w:w="706" w:type="pct"/>
            <w:vAlign w:val="center"/>
          </w:tcPr>
          <w:p>
            <w:pPr>
              <w:jc w:val="center"/>
              <w:rPr>
                <w:rFonts w:ascii="宋体" w:hAnsi="宋体" w:eastAsia="宋体" w:cs="宋体"/>
                <w:highlight w:val="none"/>
              </w:rPr>
            </w:pPr>
            <w:r>
              <w:rPr>
                <w:rFonts w:hint="eastAsia" w:ascii="宋体" w:hAnsi="宋体" w:eastAsia="宋体" w:cs="宋体"/>
                <w:highlight w:val="none"/>
              </w:rPr>
              <w:t>详见第二章</w:t>
            </w:r>
          </w:p>
        </w:tc>
        <w:tc>
          <w:tcPr>
            <w:tcW w:w="562"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 xml:space="preserve">7,500,000.00    </w:t>
            </w:r>
          </w:p>
        </w:tc>
        <w:tc>
          <w:tcPr>
            <w:tcW w:w="583" w:type="pct"/>
            <w:vAlign w:val="center"/>
          </w:tcPr>
          <w:p>
            <w:pPr>
              <w:jc w:val="center"/>
              <w:rPr>
                <w:rFonts w:ascii="宋体" w:hAnsi="宋体" w:eastAsia="宋体" w:cs="宋体"/>
                <w:highlight w:val="none"/>
              </w:rPr>
            </w:pPr>
            <w:r>
              <w:rPr>
                <w:rFonts w:hint="eastAsia" w:ascii="宋体" w:hAnsi="宋体" w:eastAsia="宋体" w:cs="宋体"/>
                <w:highlight w:val="none"/>
              </w:rPr>
              <w:t>否</w:t>
            </w:r>
          </w:p>
        </w:tc>
      </w:tr>
    </w:tbl>
    <w:p>
      <w:pPr>
        <w:spacing w:line="360" w:lineRule="auto"/>
        <w:rPr>
          <w:rFonts w:hint="eastAsia" w:ascii="宋体" w:hAnsi="宋体" w:eastAsia="宋体" w:cs="宋体"/>
          <w:highlight w:val="none"/>
        </w:rPr>
      </w:pPr>
    </w:p>
    <w:p>
      <w:pPr>
        <w:spacing w:line="360" w:lineRule="auto"/>
        <w:rPr>
          <w:rFonts w:ascii="宋体" w:hAnsi="宋体" w:eastAsia="宋体" w:cs="宋体"/>
          <w:highlight w:val="none"/>
        </w:rPr>
      </w:pPr>
      <w:r>
        <w:rPr>
          <w:rFonts w:hint="eastAsia" w:ascii="宋体" w:hAnsi="宋体" w:eastAsia="宋体" w:cs="宋体"/>
          <w:highlight w:val="none"/>
        </w:rPr>
        <w:t>本采购包不接受联合体投标</w:t>
      </w:r>
    </w:p>
    <w:p>
      <w:pPr>
        <w:spacing w:line="360" w:lineRule="auto"/>
        <w:rPr>
          <w:rFonts w:hint="eastAsia" w:ascii="宋体" w:hAnsi="宋体" w:eastAsia="宋体" w:cs="宋体"/>
          <w:highlight w:val="none"/>
        </w:rPr>
      </w:pPr>
      <w:r>
        <w:rPr>
          <w:rFonts w:hint="eastAsia" w:ascii="宋体" w:hAnsi="宋体" w:eastAsia="宋体" w:cs="宋体"/>
          <w:highlight w:val="none"/>
        </w:rPr>
        <w:t>合同履行期限：服务期自合同签订</w:t>
      </w:r>
      <w:r>
        <w:rPr>
          <w:rFonts w:hint="eastAsia" w:ascii="宋体" w:hAnsi="宋体" w:eastAsia="宋体" w:cs="宋体"/>
          <w:highlight w:val="none"/>
          <w:lang w:eastAsia="zh-CN"/>
        </w:rPr>
        <w:t>之</w:t>
      </w:r>
      <w:r>
        <w:rPr>
          <w:rFonts w:hint="eastAsia" w:ascii="宋体" w:hAnsi="宋体" w:eastAsia="宋体" w:cs="宋体"/>
          <w:highlight w:val="none"/>
        </w:rPr>
        <w:t>日起2年或至对应包组预算费用据实结算用完为止。</w:t>
      </w:r>
    </w:p>
    <w:p>
      <w:pPr>
        <w:spacing w:line="360" w:lineRule="auto"/>
        <w:ind w:firstLine="420" w:firstLineChars="200"/>
        <w:rPr>
          <w:rFonts w:hint="eastAsia" w:ascii="宋体" w:hAnsi="宋体" w:eastAsia="宋体" w:cs="宋体"/>
          <w:highlight w:val="none"/>
        </w:rPr>
      </w:pPr>
    </w:p>
    <w:p>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highlight w:val="none"/>
        </w:rPr>
        <w:t>(2023-2025年法医类、痕迹类、声像类司法鉴定服务采购项目):</w:t>
      </w:r>
    </w:p>
    <w:p>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采购包预算金额：</w:t>
      </w:r>
      <w:r>
        <w:rPr>
          <w:rFonts w:hint="eastAsia" w:ascii="宋体" w:hAnsi="宋体" w:eastAsia="宋体" w:cs="宋体"/>
          <w:highlight w:val="none"/>
          <w:lang w:val="en-US" w:eastAsia="zh-CN"/>
        </w:rPr>
        <w:t>3,800,000.00</w:t>
      </w:r>
      <w:r>
        <w:rPr>
          <w:rFonts w:hint="eastAsia" w:ascii="宋体" w:hAnsi="宋体" w:eastAsia="宋体" w:cs="宋体"/>
          <w:highlight w:val="none"/>
        </w:rPr>
        <w:t>元</w:t>
      </w:r>
    </w:p>
    <w:tbl>
      <w:tblPr>
        <w:tblStyle w:val="6"/>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32"/>
        <w:gridCol w:w="1818"/>
        <w:gridCol w:w="2616"/>
        <w:gridCol w:w="943"/>
        <w:gridCol w:w="1300"/>
        <w:gridCol w:w="1271"/>
        <w:gridCol w:w="10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4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品目号</w:t>
            </w:r>
          </w:p>
        </w:tc>
        <w:tc>
          <w:tcPr>
            <w:tcW w:w="980"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品目名称</w:t>
            </w:r>
          </w:p>
        </w:tc>
        <w:tc>
          <w:tcPr>
            <w:tcW w:w="1402"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采购标的</w:t>
            </w:r>
          </w:p>
        </w:tc>
        <w:tc>
          <w:tcPr>
            <w:tcW w:w="51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数量</w:t>
            </w:r>
          </w:p>
          <w:p>
            <w:pPr>
              <w:jc w:val="center"/>
              <w:rPr>
                <w:rFonts w:ascii="宋体" w:hAnsi="宋体" w:eastAsia="宋体" w:cs="宋体"/>
                <w:highlight w:val="none"/>
              </w:rPr>
            </w:pPr>
            <w:r>
              <w:rPr>
                <w:rFonts w:hint="eastAsia" w:ascii="宋体" w:hAnsi="宋体" w:eastAsia="宋体" w:cs="宋体"/>
                <w:highlight w:val="none"/>
              </w:rPr>
              <w:t>（单位）</w:t>
            </w:r>
          </w:p>
        </w:tc>
        <w:tc>
          <w:tcPr>
            <w:tcW w:w="706"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技术规格、参数及要求</w:t>
            </w:r>
          </w:p>
        </w:tc>
        <w:tc>
          <w:tcPr>
            <w:tcW w:w="562"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品目预算(元)</w:t>
            </w:r>
          </w:p>
        </w:tc>
        <w:tc>
          <w:tcPr>
            <w:tcW w:w="583"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是否允许进口产品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47" w:type="pct"/>
            <w:vAlign w:val="center"/>
          </w:tcPr>
          <w:p>
            <w:pPr>
              <w:jc w:val="center"/>
              <w:rPr>
                <w:rFonts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-1</w:t>
            </w:r>
          </w:p>
        </w:tc>
        <w:tc>
          <w:tcPr>
            <w:tcW w:w="980"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 xml:space="preserve">其他专业技术服务   </w:t>
            </w:r>
          </w:p>
        </w:tc>
        <w:tc>
          <w:tcPr>
            <w:tcW w:w="1402" w:type="pct"/>
            <w:vAlign w:val="center"/>
          </w:tcPr>
          <w:p>
            <w:pPr>
              <w:jc w:val="center"/>
              <w:rPr>
                <w:rFonts w:ascii="宋体" w:hAnsi="宋体" w:eastAsia="宋体" w:cs="宋体"/>
                <w:highlight w:val="none"/>
              </w:rPr>
            </w:pPr>
            <w:r>
              <w:rPr>
                <w:rFonts w:hint="eastAsia" w:ascii="宋体" w:hAnsi="宋体" w:eastAsia="宋体" w:cs="宋体"/>
                <w:highlight w:val="none"/>
                <w:lang w:eastAsia="zh-CN"/>
              </w:rPr>
              <w:t>法医类司法鉴定服务</w:t>
            </w:r>
          </w:p>
        </w:tc>
        <w:tc>
          <w:tcPr>
            <w:tcW w:w="517" w:type="pct"/>
            <w:vAlign w:val="center"/>
          </w:tcPr>
          <w:p>
            <w:pPr>
              <w:jc w:val="center"/>
              <w:rPr>
                <w:rFonts w:ascii="宋体" w:hAnsi="宋体" w:eastAsia="宋体" w:cs="宋体"/>
                <w:highlight w:val="none"/>
              </w:rPr>
            </w:pPr>
            <w:r>
              <w:rPr>
                <w:rFonts w:hint="eastAsia" w:ascii="宋体" w:hAnsi="宋体" w:eastAsia="宋体" w:cs="宋体"/>
                <w:highlight w:val="none"/>
              </w:rPr>
              <w:t>1.00(项)</w:t>
            </w:r>
          </w:p>
        </w:tc>
        <w:tc>
          <w:tcPr>
            <w:tcW w:w="706" w:type="pct"/>
            <w:vAlign w:val="center"/>
          </w:tcPr>
          <w:p>
            <w:pPr>
              <w:jc w:val="center"/>
              <w:rPr>
                <w:rFonts w:ascii="宋体" w:hAnsi="宋体" w:eastAsia="宋体" w:cs="宋体"/>
                <w:highlight w:val="none"/>
              </w:rPr>
            </w:pPr>
            <w:r>
              <w:rPr>
                <w:rFonts w:hint="eastAsia" w:ascii="宋体" w:hAnsi="宋体" w:eastAsia="宋体" w:cs="宋体"/>
                <w:highlight w:val="none"/>
              </w:rPr>
              <w:t>详见第二章</w:t>
            </w:r>
          </w:p>
        </w:tc>
        <w:tc>
          <w:tcPr>
            <w:tcW w:w="562"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 xml:space="preserve">3,800,000.00    </w:t>
            </w:r>
          </w:p>
        </w:tc>
        <w:tc>
          <w:tcPr>
            <w:tcW w:w="583" w:type="pct"/>
            <w:vAlign w:val="center"/>
          </w:tcPr>
          <w:p>
            <w:pPr>
              <w:jc w:val="center"/>
              <w:rPr>
                <w:rFonts w:ascii="宋体" w:hAnsi="宋体" w:eastAsia="宋体" w:cs="宋体"/>
                <w:highlight w:val="none"/>
              </w:rPr>
            </w:pPr>
            <w:r>
              <w:rPr>
                <w:rFonts w:hint="eastAsia" w:ascii="宋体" w:hAnsi="宋体" w:eastAsia="宋体" w:cs="宋体"/>
                <w:highlight w:val="none"/>
              </w:rPr>
              <w:t>否</w:t>
            </w:r>
          </w:p>
        </w:tc>
      </w:tr>
    </w:tbl>
    <w:p>
      <w:pPr>
        <w:spacing w:line="360" w:lineRule="auto"/>
        <w:rPr>
          <w:rFonts w:hint="eastAsia" w:ascii="宋体" w:hAnsi="宋体" w:eastAsia="宋体" w:cs="宋体"/>
          <w:highlight w:val="none"/>
        </w:rPr>
      </w:pPr>
    </w:p>
    <w:p>
      <w:pPr>
        <w:spacing w:line="360" w:lineRule="auto"/>
        <w:rPr>
          <w:rFonts w:ascii="宋体" w:hAnsi="宋体" w:eastAsia="宋体" w:cs="宋体"/>
          <w:highlight w:val="none"/>
        </w:rPr>
      </w:pPr>
      <w:r>
        <w:rPr>
          <w:rFonts w:hint="eastAsia" w:ascii="宋体" w:hAnsi="宋体" w:eastAsia="宋体" w:cs="宋体"/>
          <w:highlight w:val="none"/>
        </w:rPr>
        <w:t>本采购包不接受联合体投标</w:t>
      </w:r>
    </w:p>
    <w:p>
      <w:pPr>
        <w:spacing w:line="360" w:lineRule="auto"/>
        <w:rPr>
          <w:rFonts w:hint="eastAsia" w:ascii="宋体" w:hAnsi="宋体" w:eastAsia="宋体" w:cs="宋体"/>
          <w:highlight w:val="none"/>
        </w:rPr>
      </w:pPr>
      <w:r>
        <w:rPr>
          <w:rFonts w:hint="eastAsia" w:ascii="宋体" w:hAnsi="宋体" w:eastAsia="宋体" w:cs="宋体"/>
          <w:highlight w:val="none"/>
        </w:rPr>
        <w:t>合同履行期限：服务期自合同签订</w:t>
      </w:r>
      <w:r>
        <w:rPr>
          <w:rFonts w:hint="eastAsia" w:ascii="宋体" w:hAnsi="宋体" w:eastAsia="宋体" w:cs="宋体"/>
          <w:highlight w:val="none"/>
          <w:lang w:eastAsia="zh-CN"/>
        </w:rPr>
        <w:t>之</w:t>
      </w:r>
      <w:r>
        <w:rPr>
          <w:rFonts w:hint="eastAsia" w:ascii="宋体" w:hAnsi="宋体" w:eastAsia="宋体" w:cs="宋体"/>
          <w:highlight w:val="none"/>
        </w:rPr>
        <w:t>日起2年或至对应包组预算费用据实结算用完为止。</w:t>
      </w:r>
    </w:p>
    <w:p>
      <w:pPr>
        <w:spacing w:line="360" w:lineRule="auto"/>
        <w:ind w:firstLine="420" w:firstLineChars="200"/>
        <w:rPr>
          <w:rFonts w:hint="eastAsia" w:ascii="宋体" w:hAnsi="宋体" w:eastAsia="宋体" w:cs="宋体"/>
          <w:highlight w:val="none"/>
        </w:rPr>
      </w:pPr>
    </w:p>
    <w:p>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highlight w:val="none"/>
        </w:rPr>
        <w:t>(2023-2025年法医类、痕迹类、声像类司法鉴定服务采购项目):</w:t>
      </w:r>
    </w:p>
    <w:p>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采购包预算金额：</w:t>
      </w:r>
      <w:r>
        <w:rPr>
          <w:rFonts w:hint="eastAsia" w:ascii="宋体" w:hAnsi="宋体" w:eastAsia="宋体" w:cs="宋体"/>
          <w:highlight w:val="none"/>
          <w:lang w:val="en-US" w:eastAsia="zh-CN"/>
        </w:rPr>
        <w:t>400,000.00</w:t>
      </w:r>
      <w:r>
        <w:rPr>
          <w:rFonts w:hint="eastAsia" w:ascii="宋体" w:hAnsi="宋体" w:eastAsia="宋体" w:cs="宋体"/>
          <w:highlight w:val="none"/>
        </w:rPr>
        <w:t>元</w:t>
      </w:r>
    </w:p>
    <w:tbl>
      <w:tblPr>
        <w:tblStyle w:val="6"/>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6"/>
        <w:gridCol w:w="1853"/>
        <w:gridCol w:w="2651"/>
        <w:gridCol w:w="978"/>
        <w:gridCol w:w="1335"/>
        <w:gridCol w:w="1063"/>
        <w:gridCol w:w="1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4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品目号</w:t>
            </w:r>
          </w:p>
        </w:tc>
        <w:tc>
          <w:tcPr>
            <w:tcW w:w="980"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品目名称</w:t>
            </w:r>
          </w:p>
        </w:tc>
        <w:tc>
          <w:tcPr>
            <w:tcW w:w="1402"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采购标的</w:t>
            </w:r>
          </w:p>
        </w:tc>
        <w:tc>
          <w:tcPr>
            <w:tcW w:w="51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数量</w:t>
            </w:r>
          </w:p>
          <w:p>
            <w:pPr>
              <w:jc w:val="center"/>
              <w:rPr>
                <w:rFonts w:ascii="宋体" w:hAnsi="宋体" w:eastAsia="宋体" w:cs="宋体"/>
                <w:highlight w:val="none"/>
              </w:rPr>
            </w:pPr>
            <w:r>
              <w:rPr>
                <w:rFonts w:hint="eastAsia" w:ascii="宋体" w:hAnsi="宋体" w:eastAsia="宋体" w:cs="宋体"/>
                <w:highlight w:val="none"/>
              </w:rPr>
              <w:t>（单位）</w:t>
            </w:r>
          </w:p>
        </w:tc>
        <w:tc>
          <w:tcPr>
            <w:tcW w:w="706"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技术规格、参数及要求</w:t>
            </w:r>
          </w:p>
        </w:tc>
        <w:tc>
          <w:tcPr>
            <w:tcW w:w="562"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品目预算(元)</w:t>
            </w:r>
          </w:p>
        </w:tc>
        <w:tc>
          <w:tcPr>
            <w:tcW w:w="583"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是否允许进口产品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47" w:type="pct"/>
            <w:vAlign w:val="center"/>
          </w:tcPr>
          <w:p>
            <w:pPr>
              <w:jc w:val="center"/>
              <w:rPr>
                <w:rFonts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-1</w:t>
            </w:r>
          </w:p>
        </w:tc>
        <w:tc>
          <w:tcPr>
            <w:tcW w:w="980"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 xml:space="preserve">其他专业技术服务   </w:t>
            </w:r>
          </w:p>
        </w:tc>
        <w:tc>
          <w:tcPr>
            <w:tcW w:w="1402" w:type="pct"/>
            <w:vAlign w:val="center"/>
          </w:tcPr>
          <w:p>
            <w:pPr>
              <w:jc w:val="center"/>
              <w:rPr>
                <w:rFonts w:ascii="宋体" w:hAnsi="宋体" w:eastAsia="宋体" w:cs="宋体"/>
                <w:highlight w:val="none"/>
              </w:rPr>
            </w:pPr>
            <w:r>
              <w:rPr>
                <w:rFonts w:hint="eastAsia" w:ascii="宋体" w:hAnsi="宋体" w:eastAsia="宋体" w:cs="宋体"/>
                <w:highlight w:val="none"/>
                <w:lang w:eastAsia="zh-CN"/>
              </w:rPr>
              <w:t>声像类司法鉴定服务</w:t>
            </w:r>
          </w:p>
        </w:tc>
        <w:tc>
          <w:tcPr>
            <w:tcW w:w="517" w:type="pct"/>
            <w:vAlign w:val="center"/>
          </w:tcPr>
          <w:p>
            <w:pPr>
              <w:jc w:val="center"/>
              <w:rPr>
                <w:rFonts w:ascii="宋体" w:hAnsi="宋体" w:eastAsia="宋体" w:cs="宋体"/>
                <w:highlight w:val="none"/>
              </w:rPr>
            </w:pPr>
            <w:r>
              <w:rPr>
                <w:rFonts w:hint="eastAsia" w:ascii="宋体" w:hAnsi="宋体" w:eastAsia="宋体" w:cs="宋体"/>
                <w:highlight w:val="none"/>
              </w:rPr>
              <w:t>1.00(项)</w:t>
            </w:r>
          </w:p>
        </w:tc>
        <w:tc>
          <w:tcPr>
            <w:tcW w:w="706" w:type="pct"/>
            <w:vAlign w:val="center"/>
          </w:tcPr>
          <w:p>
            <w:pPr>
              <w:jc w:val="center"/>
              <w:rPr>
                <w:rFonts w:ascii="宋体" w:hAnsi="宋体" w:eastAsia="宋体" w:cs="宋体"/>
                <w:highlight w:val="none"/>
              </w:rPr>
            </w:pPr>
            <w:r>
              <w:rPr>
                <w:rFonts w:hint="eastAsia" w:ascii="宋体" w:hAnsi="宋体" w:eastAsia="宋体" w:cs="宋体"/>
                <w:highlight w:val="none"/>
              </w:rPr>
              <w:t>详见第二章</w:t>
            </w:r>
          </w:p>
        </w:tc>
        <w:tc>
          <w:tcPr>
            <w:tcW w:w="562"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 xml:space="preserve">400,000.00    </w:t>
            </w:r>
          </w:p>
        </w:tc>
        <w:tc>
          <w:tcPr>
            <w:tcW w:w="583" w:type="pct"/>
            <w:vAlign w:val="center"/>
          </w:tcPr>
          <w:p>
            <w:pPr>
              <w:jc w:val="center"/>
              <w:rPr>
                <w:rFonts w:ascii="宋体" w:hAnsi="宋体" w:eastAsia="宋体" w:cs="宋体"/>
                <w:highlight w:val="none"/>
              </w:rPr>
            </w:pPr>
            <w:r>
              <w:rPr>
                <w:rFonts w:hint="eastAsia" w:ascii="宋体" w:hAnsi="宋体" w:eastAsia="宋体" w:cs="宋体"/>
                <w:highlight w:val="none"/>
              </w:rPr>
              <w:t>否</w:t>
            </w:r>
          </w:p>
        </w:tc>
      </w:tr>
    </w:tbl>
    <w:p>
      <w:pPr>
        <w:spacing w:line="360" w:lineRule="auto"/>
        <w:rPr>
          <w:rFonts w:hint="eastAsia" w:ascii="宋体" w:hAnsi="宋体" w:eastAsia="宋体" w:cs="宋体"/>
          <w:highlight w:val="none"/>
        </w:rPr>
      </w:pPr>
    </w:p>
    <w:p>
      <w:pPr>
        <w:spacing w:line="360" w:lineRule="auto"/>
        <w:rPr>
          <w:rFonts w:ascii="宋体" w:hAnsi="宋体" w:eastAsia="宋体" w:cs="宋体"/>
          <w:highlight w:val="none"/>
        </w:rPr>
      </w:pPr>
      <w:r>
        <w:rPr>
          <w:rFonts w:hint="eastAsia" w:ascii="宋体" w:hAnsi="宋体" w:eastAsia="宋体" w:cs="宋体"/>
          <w:highlight w:val="none"/>
        </w:rPr>
        <w:t>本采购包不接受联合体投标</w:t>
      </w:r>
    </w:p>
    <w:p>
      <w:pPr>
        <w:spacing w:line="360" w:lineRule="auto"/>
        <w:rPr>
          <w:rFonts w:hint="default" w:ascii="宋体" w:hAnsi="宋体" w:eastAsia="宋体" w:cs="宋体"/>
          <w:highlight w:val="none"/>
          <w:lang w:val="en-US" w:eastAsia="zh-CN"/>
        </w:rPr>
      </w:pPr>
      <w:r>
        <w:rPr>
          <w:rFonts w:hint="eastAsia" w:ascii="宋体" w:hAnsi="宋体" w:eastAsia="宋体" w:cs="宋体"/>
          <w:highlight w:val="none"/>
        </w:rPr>
        <w:t>合同履行期限：服务期自合同签订</w:t>
      </w:r>
      <w:r>
        <w:rPr>
          <w:rFonts w:hint="eastAsia" w:ascii="宋体" w:hAnsi="宋体" w:eastAsia="宋体" w:cs="宋体"/>
          <w:highlight w:val="none"/>
          <w:lang w:eastAsia="zh-CN"/>
        </w:rPr>
        <w:t>之</w:t>
      </w:r>
      <w:r>
        <w:rPr>
          <w:rFonts w:hint="eastAsia" w:ascii="宋体" w:hAnsi="宋体" w:eastAsia="宋体" w:cs="宋体"/>
          <w:highlight w:val="none"/>
        </w:rPr>
        <w:t>日起2年或至对应包组预算费用据实结算用完为止。</w:t>
      </w:r>
    </w:p>
    <w:p>
      <w:pPr>
        <w:pStyle w:val="2"/>
        <w:numPr>
          <w:ilvl w:val="0"/>
          <w:numId w:val="0"/>
        </w:numPr>
      </w:pPr>
    </w:p>
    <w:p>
      <w:pPr>
        <w:pStyle w:val="2"/>
        <w:numPr>
          <w:ilvl w:val="0"/>
          <w:numId w:val="0"/>
        </w:numPr>
      </w:pPr>
    </w:p>
    <w:p>
      <w:pPr>
        <w:pStyle w:val="2"/>
        <w:numPr>
          <w:ilvl w:val="0"/>
          <w:numId w:val="0"/>
        </w:numPr>
        <w:rPr>
          <w:rFonts w:hint="default" w:eastAsiaTheme="minorEastAsia"/>
          <w:lang w:val="en-US" w:eastAsia="zh-CN"/>
        </w:rPr>
      </w:pPr>
      <w:r>
        <w:rPr>
          <w:rFonts w:hint="eastAsia"/>
          <w:lang w:val="en-US" w:eastAsia="zh-CN"/>
        </w:rPr>
        <w:t>2.服务项目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2085"/>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37" w:type="dxa"/>
            <w:vAlign w:val="center"/>
          </w:tcPr>
          <w:p>
            <w:pPr>
              <w:spacing w:before="1" w:line="360" w:lineRule="auto"/>
              <w:ind w:firstLine="22"/>
              <w:rPr>
                <w:rFonts w:hint="eastAsia"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包组号</w:t>
            </w:r>
          </w:p>
        </w:tc>
        <w:tc>
          <w:tcPr>
            <w:tcW w:w="2085"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包组名称</w:t>
            </w: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137" w:type="dxa"/>
            <w:vMerge w:val="restart"/>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包组一</w:t>
            </w:r>
          </w:p>
        </w:tc>
        <w:tc>
          <w:tcPr>
            <w:tcW w:w="2085" w:type="dxa"/>
            <w:vMerge w:val="restart"/>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痕迹类司法鉴定服务</w:t>
            </w: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痕迹鉴定（含事故碰撞形态、驾乘关系、车速鉴定）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车辆安全技术状态检验鉴定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车辆行驶速度鉴定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支肤纹痕迹鉴定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车辆轮迹鉴定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车辆痕迹鉴定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痕迹显现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造痕客体与承痕客体关系鉴定（多次碾压）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事故涉案交通行为方式（推骑）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驾乘关系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实物照片与实物同一鉴定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整体分离痕迹鉴定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车辆属性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事故成因分析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信号灯运行状况分析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机动车辆号码化学显现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1137"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痕迹鉴定文件审查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37" w:type="dxa"/>
            <w:vMerge w:val="restart"/>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包组二</w:t>
            </w:r>
          </w:p>
        </w:tc>
        <w:tc>
          <w:tcPr>
            <w:tcW w:w="2085" w:type="dxa"/>
            <w:vMerge w:val="restart"/>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法医类司法鉴定服务</w:t>
            </w: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涉医疗类尸体死因鉴定全套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尸体解剖/尸表检验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脏体硅藻检查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器官组织学检查与鉴定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病理组织切片检查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法医现场检查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含性功能、视觉功能、听觉功能、脑干脊髓损伤类、验伤，评残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损伤程度鉴定（轻伤/重伤）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伤病关系鉴定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诈病与诈伤鉴定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致伤物与致伤方式推断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人体血液中乙醇定性定量分析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常见毒物、毒品、精神类药物定性定量分析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含活体、尸体骨龄鉴定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vAlign w:val="center"/>
          </w:tcPr>
          <w:p>
            <w:pPr>
              <w:spacing w:before="1" w:line="360" w:lineRule="auto"/>
              <w:ind w:firstLine="22"/>
              <w:rPr>
                <w:rFonts w:hint="eastAsia" w:ascii="宋体" w:hAnsi="宋体" w:eastAsia="宋体" w:cs="宋体"/>
                <w:spacing w:val="-3"/>
                <w:highlight w:val="none"/>
                <w:lang w:eastAsia="zh-CN"/>
              </w:rPr>
            </w:pPr>
          </w:p>
        </w:tc>
        <w:tc>
          <w:tcPr>
            <w:tcW w:w="5300" w:type="dxa"/>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微量物证（塑料、油漆等对比）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7" w:type="dxa"/>
            <w:vMerge w:val="restart"/>
            <w:vAlign w:val="center"/>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包组三</w:t>
            </w:r>
          </w:p>
        </w:tc>
        <w:tc>
          <w:tcPr>
            <w:tcW w:w="2085" w:type="dxa"/>
            <w:vMerge w:val="restart"/>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声像类司法鉴定服务</w:t>
            </w:r>
          </w:p>
        </w:tc>
        <w:tc>
          <w:tcPr>
            <w:tcW w:w="5300" w:type="dxa"/>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人像比对鉴定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vMerge w:val="continue"/>
          </w:tcPr>
          <w:p>
            <w:pPr>
              <w:spacing w:before="1" w:line="360" w:lineRule="auto"/>
              <w:ind w:firstLine="22"/>
              <w:rPr>
                <w:rFonts w:hint="eastAsia" w:ascii="宋体" w:hAnsi="宋体" w:eastAsia="宋体" w:cs="宋体"/>
                <w:spacing w:val="-3"/>
                <w:highlight w:val="none"/>
                <w:lang w:eastAsia="zh-CN"/>
              </w:rPr>
            </w:pPr>
          </w:p>
        </w:tc>
        <w:tc>
          <w:tcPr>
            <w:tcW w:w="2085" w:type="dxa"/>
            <w:vMerge w:val="continue"/>
          </w:tcPr>
          <w:p>
            <w:pPr>
              <w:spacing w:before="1" w:line="360" w:lineRule="auto"/>
              <w:ind w:firstLine="22"/>
              <w:rPr>
                <w:rFonts w:hint="eastAsia" w:ascii="宋体" w:hAnsi="宋体" w:eastAsia="宋体" w:cs="宋体"/>
                <w:spacing w:val="-3"/>
                <w:highlight w:val="none"/>
                <w:lang w:eastAsia="zh-CN"/>
              </w:rPr>
            </w:pPr>
          </w:p>
        </w:tc>
        <w:tc>
          <w:tcPr>
            <w:tcW w:w="5300" w:type="dxa"/>
          </w:tcPr>
          <w:p>
            <w:pPr>
              <w:spacing w:before="1" w:line="360" w:lineRule="auto"/>
              <w:ind w:firstLine="22"/>
              <w:rPr>
                <w:rFonts w:hint="eastAsia" w:ascii="宋体" w:hAnsi="宋体" w:eastAsia="宋体" w:cs="宋体"/>
                <w:spacing w:val="-3"/>
                <w:highlight w:val="none"/>
                <w:lang w:eastAsia="zh-CN"/>
              </w:rPr>
            </w:pPr>
            <w:r>
              <w:rPr>
                <w:rFonts w:hint="eastAsia" w:ascii="宋体" w:hAnsi="宋体" w:eastAsia="宋体" w:cs="宋体"/>
                <w:spacing w:val="-3"/>
                <w:highlight w:val="none"/>
                <w:lang w:eastAsia="zh-CN"/>
              </w:rPr>
              <w:t>录像图片鉴定</w:t>
            </w:r>
          </w:p>
        </w:tc>
      </w:tr>
    </w:tbl>
    <w:p>
      <w:pPr>
        <w:spacing w:before="1" w:line="360" w:lineRule="auto"/>
        <w:ind w:firstLine="22"/>
        <w:rPr>
          <w:rFonts w:hint="eastAsia" w:ascii="宋体" w:hAnsi="宋体" w:eastAsia="宋体" w:cs="宋体"/>
          <w:spacing w:val="-3"/>
          <w:highlight w:val="none"/>
          <w:lang w:val="en-US" w:eastAsia="zh-CN"/>
        </w:rPr>
      </w:pPr>
    </w:p>
    <w:p>
      <w:pPr>
        <w:spacing w:before="1" w:line="360" w:lineRule="auto"/>
        <w:ind w:firstLine="22"/>
        <w:rPr>
          <w:rFonts w:hint="eastAsia"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说明：</w:t>
      </w:r>
    </w:p>
    <w:p>
      <w:pPr>
        <w:spacing w:before="1" w:line="360" w:lineRule="auto"/>
        <w:ind w:firstLine="426" w:firstLineChars="209"/>
        <w:rPr>
          <w:rFonts w:hint="eastAsia"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1.本项目费用包括但不限于检验鉴定费用、设备费用、交通费用、误餐费用、聘请第三方机构对本项目进行绩效评价服务费用和与本合同执行有关的一切税费、人员工资等一切费用。</w:t>
      </w:r>
    </w:p>
    <w:p>
      <w:pPr>
        <w:spacing w:before="1" w:line="360" w:lineRule="auto"/>
        <w:ind w:firstLine="426" w:firstLineChars="209"/>
        <w:rPr>
          <w:rFonts w:hint="eastAsia"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2.本项目以实际发生的鉴定服务量按实结算,采购人无法预计也无法保证向中标人委托的鉴定服务数量及金额，投标人应自行承担风险。</w:t>
      </w:r>
    </w:p>
    <w:p>
      <w:pPr>
        <w:spacing w:before="1" w:line="360" w:lineRule="auto"/>
        <w:ind w:firstLine="22"/>
        <w:rPr>
          <w:rFonts w:hint="eastAsia" w:ascii="宋体" w:hAnsi="宋体" w:eastAsia="宋体" w:cs="宋体"/>
          <w:spacing w:val="-3"/>
          <w:highlight w:val="none"/>
          <w:lang w:val="en-US" w:eastAsia="zh-CN"/>
        </w:rPr>
      </w:pPr>
    </w:p>
    <w:p>
      <w:pPr>
        <w:pStyle w:val="2"/>
        <w:rPr>
          <w:highlight w:val="none"/>
        </w:rPr>
      </w:pPr>
    </w:p>
    <w:p>
      <w:pPr>
        <w:spacing w:before="90" w:line="480" w:lineRule="auto"/>
        <w:rPr>
          <w:rFonts w:ascii="宋体" w:hAnsi="宋体" w:eastAsia="宋体" w:cs="宋体"/>
          <w:highlight w:val="none"/>
        </w:rPr>
      </w:pPr>
      <w:r>
        <w:rPr>
          <w:rFonts w:hint="eastAsia" w:ascii="宋体" w:hAnsi="宋体" w:eastAsia="宋体" w:cs="宋体"/>
          <w:highlight w:val="none"/>
        </w:rPr>
        <w:t>采购包1</w:t>
      </w:r>
      <w:r>
        <w:rPr>
          <w:rFonts w:hint="eastAsia" w:ascii="宋体" w:hAnsi="宋体" w:eastAsia="宋体" w:cs="宋体"/>
          <w:b/>
          <w:bCs/>
          <w:highlight w:val="none"/>
        </w:rPr>
        <w:t>（</w:t>
      </w:r>
      <w:r>
        <w:rPr>
          <w:rFonts w:hint="eastAsia" w:ascii="宋体" w:hAnsi="宋体" w:eastAsia="宋体" w:cs="宋体"/>
          <w:b/>
          <w:bCs/>
          <w:highlight w:val="none"/>
          <w:lang w:eastAsia="zh-CN"/>
        </w:rPr>
        <w:t>痕迹类司法鉴定服务</w:t>
      </w:r>
      <w:r>
        <w:rPr>
          <w:rFonts w:hint="eastAsia" w:ascii="宋体" w:hAnsi="宋体" w:eastAsia="宋体" w:cs="宋体"/>
          <w:b/>
          <w:bCs/>
          <w:spacing w:val="-44"/>
          <w:highlight w:val="none"/>
        </w:rPr>
        <w:t>）</w:t>
      </w:r>
      <w:r>
        <w:rPr>
          <w:rFonts w:hint="eastAsia" w:ascii="宋体" w:hAnsi="宋体" w:eastAsia="宋体" w:cs="宋体"/>
          <w:spacing w:val="-44"/>
          <w:highlight w:val="none"/>
        </w:rPr>
        <w:t>：</w:t>
      </w:r>
    </w:p>
    <w:p>
      <w:pPr>
        <w:spacing w:line="480" w:lineRule="auto"/>
        <w:rPr>
          <w:rFonts w:ascii="宋体" w:hAnsi="宋体" w:eastAsia="宋体" w:cs="宋体"/>
          <w:highlight w:val="none"/>
        </w:rPr>
      </w:pPr>
      <w:r>
        <w:rPr>
          <w:rFonts w:hint="eastAsia" w:ascii="宋体" w:hAnsi="宋体" w:eastAsia="宋体" w:cs="宋体"/>
          <w:highlight w:val="none"/>
        </w:rPr>
        <w:t>1.主要商务要求</w:t>
      </w:r>
    </w:p>
    <w:tbl>
      <w:tblPr>
        <w:tblStyle w:val="6"/>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79"/>
        <w:gridCol w:w="7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55" w:type="pct"/>
            <w:vAlign w:val="center"/>
          </w:tcPr>
          <w:p>
            <w:pPr>
              <w:spacing w:line="480" w:lineRule="auto"/>
              <w:jc w:val="center"/>
              <w:rPr>
                <w:rFonts w:ascii="宋体" w:hAnsi="宋体" w:eastAsia="宋体" w:cs="宋体"/>
                <w:highlight w:val="none"/>
              </w:rPr>
            </w:pPr>
            <w:r>
              <w:rPr>
                <w:rFonts w:hint="eastAsia" w:ascii="宋体" w:hAnsi="宋体" w:eastAsia="宋体" w:cs="宋体"/>
                <w:highlight w:val="none"/>
              </w:rPr>
              <w:t>标的提供的时间</w:t>
            </w:r>
          </w:p>
        </w:tc>
        <w:tc>
          <w:tcPr>
            <w:tcW w:w="3844" w:type="pct"/>
          </w:tcPr>
          <w:p>
            <w:pPr>
              <w:rPr>
                <w:highlight w:val="none"/>
              </w:rPr>
            </w:pPr>
            <w:r>
              <w:rPr>
                <w:rFonts w:hint="eastAsia"/>
                <w:highlight w:val="none"/>
              </w:rPr>
              <w:t>服务期自合同签订</w:t>
            </w:r>
            <w:r>
              <w:rPr>
                <w:rFonts w:hint="eastAsia"/>
                <w:highlight w:val="none"/>
                <w:lang w:eastAsia="zh-CN"/>
              </w:rPr>
              <w:t>之</w:t>
            </w:r>
            <w:r>
              <w:rPr>
                <w:rFonts w:hint="eastAsia"/>
                <w:highlight w:val="none"/>
              </w:rPr>
              <w:t>日起2年或至对应包组预算费用据实结算用完为止。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5" w:type="pct"/>
            <w:vAlign w:val="center"/>
          </w:tcPr>
          <w:p>
            <w:pPr>
              <w:spacing w:line="480" w:lineRule="auto"/>
              <w:jc w:val="center"/>
              <w:rPr>
                <w:rFonts w:ascii="宋体" w:hAnsi="宋体" w:eastAsia="宋体" w:cs="宋体"/>
                <w:highlight w:val="none"/>
              </w:rPr>
            </w:pPr>
            <w:r>
              <w:rPr>
                <w:rFonts w:hint="eastAsia" w:ascii="宋体" w:hAnsi="宋体" w:eastAsia="宋体" w:cs="宋体"/>
                <w:highlight w:val="none"/>
              </w:rPr>
              <w:t>标的提供的地点</w:t>
            </w:r>
          </w:p>
        </w:tc>
        <w:tc>
          <w:tcPr>
            <w:tcW w:w="3844" w:type="pct"/>
          </w:tcPr>
          <w:p>
            <w:pPr>
              <w:rPr>
                <w:rFonts w:hint="default" w:eastAsia="宋体"/>
                <w:highlight w:val="none"/>
                <w:lang w:val="en-US" w:eastAsia="zh-CN"/>
              </w:rPr>
            </w:pPr>
            <w:r>
              <w:rPr>
                <w:rFonts w:hint="eastAsia" w:eastAsia="宋体"/>
                <w:highlight w:val="none"/>
                <w:lang w:val="en-US" w:eastAsia="zh-CN"/>
              </w:rPr>
              <w:t>广州市公安局增城区分局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55" w:type="pct"/>
            <w:vAlign w:val="center"/>
          </w:tcPr>
          <w:p>
            <w:pPr>
              <w:spacing w:line="480" w:lineRule="auto"/>
              <w:jc w:val="center"/>
              <w:rPr>
                <w:rFonts w:ascii="宋体" w:hAnsi="宋体" w:eastAsia="宋体" w:cs="宋体"/>
                <w:highlight w:val="none"/>
              </w:rPr>
            </w:pPr>
            <w:r>
              <w:rPr>
                <w:rFonts w:hint="eastAsia" w:ascii="宋体" w:hAnsi="宋体" w:eastAsia="宋体" w:cs="宋体"/>
                <w:highlight w:val="none"/>
              </w:rPr>
              <w:t>投标有效期</w:t>
            </w:r>
          </w:p>
        </w:tc>
        <w:tc>
          <w:tcPr>
            <w:tcW w:w="3844" w:type="pct"/>
          </w:tcPr>
          <w:p>
            <w:pPr>
              <w:spacing w:line="480" w:lineRule="auto"/>
              <w:rPr>
                <w:rFonts w:ascii="宋体" w:hAnsi="宋体" w:eastAsia="宋体" w:cs="宋体"/>
                <w:highlight w:val="none"/>
              </w:rPr>
            </w:pPr>
            <w:r>
              <w:rPr>
                <w:rFonts w:hint="eastAsia" w:ascii="宋体" w:hAnsi="宋体" w:eastAsia="宋体" w:cs="宋体"/>
                <w:highlight w:val="none"/>
              </w:rPr>
              <w:t>从提交投标（响应）文件的截止之日起90日历天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1155" w:type="pct"/>
            <w:vAlign w:val="center"/>
          </w:tcPr>
          <w:p>
            <w:pPr>
              <w:jc w:val="center"/>
              <w:rPr>
                <w:rFonts w:ascii="宋体" w:hAnsi="宋体" w:eastAsia="宋体" w:cs="宋体"/>
                <w:highlight w:val="none"/>
              </w:rPr>
            </w:pPr>
            <w:r>
              <w:rPr>
                <w:rFonts w:hint="eastAsia" w:ascii="宋体" w:hAnsi="宋体" w:eastAsia="宋体" w:cs="宋体"/>
                <w:highlight w:val="none"/>
              </w:rPr>
              <w:t>付款方式</w:t>
            </w:r>
          </w:p>
        </w:tc>
        <w:tc>
          <w:tcPr>
            <w:tcW w:w="3844" w:type="pct"/>
          </w:tcPr>
          <w:p>
            <w:pPr>
              <w:spacing w:line="480" w:lineRule="auto"/>
              <w:rPr>
                <w:rFonts w:hint="eastAsia" w:ascii="宋体" w:hAnsi="宋体" w:eastAsia="宋体" w:cs="宋体"/>
                <w:highlight w:val="none"/>
              </w:rPr>
            </w:pPr>
            <w:r>
              <w:rPr>
                <w:rFonts w:hint="eastAsia" w:ascii="宋体" w:hAnsi="宋体" w:eastAsia="宋体" w:cs="宋体"/>
                <w:highlight w:val="none"/>
              </w:rPr>
              <w:t>1期：</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lang w:eastAsia="zh-CN"/>
              </w:rPr>
              <w:t>鉴定服务费按实际完成鉴定项目内容进行结算，具体数量以中标人出具并由采购人签收的具有法律效力的司法鉴定意见书为准，每3个月结算一次。</w:t>
            </w:r>
          </w:p>
          <w:p>
            <w:pPr>
              <w:spacing w:line="480" w:lineRule="auto"/>
              <w:rPr>
                <w:rFonts w:hint="eastAsia" w:ascii="宋体" w:hAnsi="宋体" w:eastAsia="宋体" w:cs="宋体"/>
                <w:highlight w:val="none"/>
                <w:lang w:val="en-US"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w:t>
            </w:r>
            <w:r>
              <w:rPr>
                <w:rFonts w:hint="eastAsia" w:ascii="宋体" w:hAnsi="宋体" w:eastAsia="宋体" w:cs="宋体"/>
                <w:highlight w:val="none"/>
                <w:lang w:eastAsia="zh-CN"/>
              </w:rPr>
              <w:t>中标人须在服务期每次满3个月后的次月15日前向采购人提供该3个月的费用结算清单及等额的正式发票，采购人于10个工作日内予以审核确认，并向财政申请办理该鉴定服务费的支付手续。如中标人未按时提供发票的，采购人有权顺延办理财政支付手续的时间。</w:t>
            </w:r>
            <w:r>
              <w:rPr>
                <w:rFonts w:hint="eastAsia" w:ascii="宋体" w:hAnsi="宋体" w:eastAsia="宋体" w:cs="宋体"/>
                <w:highlight w:val="none"/>
                <w:lang w:val="en-US" w:eastAsia="zh-CN"/>
              </w:rPr>
              <w:t xml:space="preserve">  </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3</w:t>
            </w:r>
            <w:r>
              <w:rPr>
                <w:rFonts w:hint="eastAsia" w:ascii="宋体" w:hAnsi="宋体" w:eastAsia="宋体" w:cs="宋体"/>
                <w:highlight w:val="none"/>
                <w:lang w:val="en-US" w:eastAsia="zh-CN"/>
              </w:rPr>
              <w:t>.</w:t>
            </w:r>
            <w:r>
              <w:rPr>
                <w:rFonts w:hint="eastAsia" w:ascii="宋体" w:hAnsi="宋体" w:eastAsia="宋体" w:cs="宋体"/>
                <w:highlight w:val="none"/>
                <w:lang w:eastAsia="zh-CN"/>
              </w:rPr>
              <w:t>付款方式:采用支票、银行汇票、电汇三种形式。</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val="en-US" w:eastAsia="zh-CN"/>
              </w:rPr>
              <w:t>4.</w:t>
            </w:r>
            <w:r>
              <w:rPr>
                <w:rFonts w:hint="eastAsia" w:ascii="宋体" w:hAnsi="宋体" w:eastAsia="宋体" w:cs="宋体"/>
                <w:highlight w:val="none"/>
                <w:lang w:eastAsia="zh-CN"/>
              </w:rPr>
              <w:t>按合同支付款项前，中标人必须先向采购人提供与支付金额相符的有效发票，且收款方、出具发票方、合同中标人均必须与中标人名称一致。</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5、中标人凭以下有效文件与采购人结算：</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）合同；</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）中标人开具的正式发票;</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）验收报告（加盖采购人公章）;</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（4）中标通知书</w:t>
            </w:r>
          </w:p>
          <w:p>
            <w:pPr>
              <w:spacing w:line="480" w:lineRule="auto"/>
              <w:rPr>
                <w:highlight w:val="none"/>
              </w:rPr>
            </w:pPr>
            <w:r>
              <w:rPr>
                <w:rFonts w:hint="eastAsia" w:ascii="宋体" w:hAnsi="宋体" w:eastAsia="宋体" w:cs="宋体"/>
                <w:highlight w:val="none"/>
                <w:lang w:eastAsia="zh-CN"/>
              </w:rPr>
              <w:t>6</w:t>
            </w:r>
            <w:r>
              <w:rPr>
                <w:rFonts w:hint="eastAsia" w:ascii="宋体" w:hAnsi="宋体" w:eastAsia="宋体" w:cs="宋体"/>
                <w:highlight w:val="none"/>
                <w:lang w:val="en-US" w:eastAsia="zh-CN"/>
              </w:rPr>
              <w:t>.</w:t>
            </w:r>
            <w:r>
              <w:rPr>
                <w:rFonts w:hint="eastAsia" w:ascii="宋体" w:hAnsi="宋体" w:eastAsia="宋体" w:cs="宋体"/>
                <w:highlight w:val="none"/>
                <w:lang w:eastAsia="zh-CN"/>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155" w:type="pct"/>
            <w:vAlign w:val="center"/>
          </w:tcPr>
          <w:p>
            <w:pPr>
              <w:jc w:val="center"/>
              <w:rPr>
                <w:rFonts w:ascii="宋体" w:hAnsi="宋体" w:eastAsia="宋体" w:cs="宋体"/>
                <w:highlight w:val="none"/>
              </w:rPr>
            </w:pPr>
            <w:r>
              <w:rPr>
                <w:rFonts w:hint="eastAsia" w:ascii="宋体" w:hAnsi="宋体" w:eastAsia="宋体" w:cs="宋体"/>
                <w:highlight w:val="none"/>
              </w:rPr>
              <w:t>验收要求</w:t>
            </w:r>
          </w:p>
        </w:tc>
        <w:tc>
          <w:tcPr>
            <w:tcW w:w="3844" w:type="pct"/>
          </w:tcPr>
          <w:p>
            <w:pPr>
              <w:spacing w:line="360" w:lineRule="auto"/>
              <w:rPr>
                <w:rFonts w:hint="eastAsia" w:ascii="宋体" w:hAnsi="宋体" w:eastAsia="宋体" w:cs="宋体"/>
                <w:highlight w:val="none"/>
              </w:rPr>
            </w:pPr>
            <w:r>
              <w:rPr>
                <w:rFonts w:hint="eastAsia" w:ascii="宋体" w:hAnsi="宋体" w:eastAsia="宋体" w:cs="宋体"/>
                <w:highlight w:val="none"/>
              </w:rPr>
              <w:t>1期：</w:t>
            </w:r>
          </w:p>
          <w:p>
            <w:pPr>
              <w:pStyle w:val="7"/>
              <w:ind w:firstLine="420" w:firstLineChars="200"/>
              <w:rPr>
                <w:rFonts w:hint="eastAsia" w:ascii="宋体" w:hAnsi="宋体" w:eastAsia="宋体" w:cs="宋体"/>
                <w:bCs w:val="0"/>
                <w:snapToGrid w:val="0"/>
                <w:color w:val="000000"/>
                <w:spacing w:val="0"/>
                <w:sz w:val="21"/>
                <w:szCs w:val="21"/>
                <w:highlight w:val="none"/>
                <w:lang w:val="en-US" w:eastAsia="zh-CN" w:bidi="ar-SA"/>
              </w:rPr>
            </w:pPr>
            <w:r>
              <w:rPr>
                <w:rFonts w:hint="eastAsia" w:ascii="宋体" w:hAnsi="宋体" w:eastAsia="宋体" w:cs="宋体"/>
                <w:bCs w:val="0"/>
                <w:snapToGrid w:val="0"/>
                <w:color w:val="000000"/>
                <w:spacing w:val="0"/>
                <w:sz w:val="21"/>
                <w:szCs w:val="21"/>
                <w:highlight w:val="none"/>
                <w:lang w:val="en-US" w:eastAsia="zh-CN" w:bidi="ar-SA"/>
              </w:rPr>
              <w:t>1.中标人完成痕迹类司法鉴定服务，出具具有法律效力的鉴定报告。</w:t>
            </w:r>
          </w:p>
          <w:p>
            <w:pPr>
              <w:pStyle w:val="7"/>
              <w:ind w:firstLine="420" w:firstLineChars="200"/>
              <w:rPr>
                <w:rFonts w:hint="default" w:ascii="宋体" w:hAnsi="宋体" w:eastAsia="宋体" w:cs="宋体"/>
                <w:bCs w:val="0"/>
                <w:snapToGrid w:val="0"/>
                <w:color w:val="000000"/>
                <w:spacing w:val="0"/>
                <w:sz w:val="21"/>
                <w:szCs w:val="21"/>
                <w:highlight w:val="none"/>
                <w:lang w:val="en-US" w:eastAsia="zh-CN" w:bidi="ar-SA"/>
              </w:rPr>
            </w:pPr>
            <w:r>
              <w:rPr>
                <w:rFonts w:hint="eastAsia" w:ascii="宋体" w:hAnsi="宋体" w:eastAsia="宋体" w:cs="宋体"/>
                <w:bCs w:val="0"/>
                <w:snapToGrid w:val="0"/>
                <w:color w:val="000000"/>
                <w:spacing w:val="0"/>
                <w:sz w:val="21"/>
                <w:szCs w:val="21"/>
                <w:highlight w:val="none"/>
                <w:lang w:val="en-US" w:eastAsia="zh-CN" w:bidi="ar-SA"/>
              </w:rPr>
              <w:t>2.</w:t>
            </w:r>
            <w:r>
              <w:rPr>
                <w:rFonts w:hint="default" w:ascii="宋体" w:hAnsi="宋体" w:eastAsia="宋体" w:cs="宋体"/>
                <w:bCs w:val="0"/>
                <w:snapToGrid w:val="0"/>
                <w:color w:val="000000"/>
                <w:spacing w:val="0"/>
                <w:sz w:val="21"/>
                <w:szCs w:val="21"/>
                <w:highlight w:val="none"/>
                <w:lang w:val="en-US" w:eastAsia="zh-CN" w:bidi="ar-SA"/>
              </w:rPr>
              <w:t>检验报告中的记录应具体详细,检验意见应精简明确。名词术语必须准确规范,不得使用俗语或外语译音。文书格式应统一按规定的文书格式规范制作并注明签发日期。</w:t>
            </w:r>
          </w:p>
          <w:p>
            <w:pPr>
              <w:pStyle w:val="7"/>
              <w:ind w:firstLine="420" w:firstLineChars="200"/>
              <w:rPr>
                <w:rFonts w:hint="default" w:ascii="宋体" w:hAnsi="宋体" w:eastAsia="宋体" w:cs="宋体"/>
                <w:bCs w:val="0"/>
                <w:snapToGrid w:val="0"/>
                <w:color w:val="000000"/>
                <w:spacing w:val="0"/>
                <w:sz w:val="21"/>
                <w:szCs w:val="21"/>
                <w:highlight w:val="none"/>
                <w:lang w:val="en-US" w:eastAsia="zh-CN" w:bidi="ar-SA"/>
              </w:rPr>
            </w:pPr>
            <w:r>
              <w:rPr>
                <w:rFonts w:hint="eastAsia" w:ascii="宋体" w:hAnsi="宋体" w:eastAsia="宋体" w:cs="宋体"/>
                <w:bCs w:val="0"/>
                <w:snapToGrid w:val="0"/>
                <w:color w:val="000000"/>
                <w:spacing w:val="0"/>
                <w:sz w:val="21"/>
                <w:szCs w:val="21"/>
                <w:highlight w:val="none"/>
                <w:lang w:val="en-US" w:eastAsia="zh-CN" w:bidi="ar-SA"/>
              </w:rPr>
              <w:t>3.</w:t>
            </w:r>
            <w:r>
              <w:rPr>
                <w:rFonts w:hint="default" w:ascii="宋体" w:hAnsi="宋体" w:eastAsia="宋体" w:cs="宋体"/>
                <w:bCs w:val="0"/>
                <w:snapToGrid w:val="0"/>
                <w:color w:val="000000"/>
                <w:spacing w:val="0"/>
                <w:sz w:val="21"/>
                <w:szCs w:val="21"/>
                <w:highlight w:val="none"/>
                <w:lang w:val="en-US" w:eastAsia="zh-CN" w:bidi="ar-SA"/>
              </w:rPr>
              <w:t>检验报告须由两名（或以上)专业技术人员签名(签名人员必须为中标人自有专业技术人员）并注明技术职称，并附职称、资格证书《其中至少一名工程师或技师）、鉴定机构司法鉴定许可证复印件，并加盖中标人印章。报告书一式叁份（电脑打印），一份交由中标人存档，两份交采购人备案存档。</w:t>
            </w:r>
          </w:p>
          <w:p>
            <w:pPr>
              <w:pStyle w:val="7"/>
              <w:ind w:firstLine="420" w:firstLineChars="200"/>
              <w:rPr>
                <w:rFonts w:hint="default" w:ascii="宋体" w:hAnsi="宋体" w:eastAsia="宋体" w:cs="宋体"/>
                <w:bCs w:val="0"/>
                <w:snapToGrid w:val="0"/>
                <w:color w:val="000000"/>
                <w:spacing w:val="0"/>
                <w:sz w:val="21"/>
                <w:szCs w:val="21"/>
                <w:highlight w:val="none"/>
                <w:lang w:val="en-US" w:eastAsia="zh-CN" w:bidi="ar-SA"/>
              </w:rPr>
            </w:pPr>
            <w:r>
              <w:rPr>
                <w:rFonts w:hint="eastAsia" w:ascii="宋体" w:hAnsi="宋体" w:eastAsia="宋体" w:cs="宋体"/>
                <w:bCs w:val="0"/>
                <w:snapToGrid w:val="0"/>
                <w:color w:val="000000"/>
                <w:spacing w:val="0"/>
                <w:sz w:val="21"/>
                <w:szCs w:val="21"/>
                <w:highlight w:val="none"/>
                <w:lang w:val="en-US" w:eastAsia="zh-CN" w:bidi="ar-SA"/>
              </w:rPr>
              <w:t>4</w:t>
            </w:r>
            <w:r>
              <w:rPr>
                <w:rFonts w:hint="default" w:ascii="宋体" w:hAnsi="宋体" w:eastAsia="宋体" w:cs="宋体"/>
                <w:bCs w:val="0"/>
                <w:snapToGrid w:val="0"/>
                <w:color w:val="000000"/>
                <w:spacing w:val="0"/>
                <w:sz w:val="21"/>
                <w:szCs w:val="21"/>
                <w:highlight w:val="none"/>
                <w:lang w:val="en-US" w:eastAsia="zh-CN" w:bidi="ar-SA"/>
              </w:rPr>
              <w:t>.中标人检验时，必须对所有检验的项目拍照或录像存档，并做好原始数据的文字记录，对当事人到场见证的应在原始检验记录上签名，如当事人不愿意签名的应作好记录;对当事人不按时到场见证的，视为自动放弃见证并做好记录。</w:t>
            </w:r>
          </w:p>
          <w:p>
            <w:pPr>
              <w:pStyle w:val="7"/>
              <w:ind w:firstLine="420" w:firstLineChars="200"/>
              <w:rPr>
                <w:rFonts w:hint="default" w:ascii="宋体" w:hAnsi="宋体" w:eastAsia="宋体" w:cs="宋体"/>
                <w:bCs w:val="0"/>
                <w:snapToGrid w:val="0"/>
                <w:color w:val="000000"/>
                <w:spacing w:val="0"/>
                <w:sz w:val="21"/>
                <w:szCs w:val="21"/>
                <w:highlight w:val="none"/>
                <w:lang w:val="en-US" w:eastAsia="zh-CN" w:bidi="ar-SA"/>
              </w:rPr>
            </w:pPr>
            <w:r>
              <w:rPr>
                <w:rFonts w:hint="eastAsia" w:ascii="宋体" w:hAnsi="宋体" w:eastAsia="宋体" w:cs="宋体"/>
                <w:bCs w:val="0"/>
                <w:snapToGrid w:val="0"/>
                <w:color w:val="000000"/>
                <w:spacing w:val="0"/>
                <w:sz w:val="21"/>
                <w:szCs w:val="21"/>
                <w:highlight w:val="none"/>
                <w:lang w:val="en-US" w:eastAsia="zh-CN" w:bidi="ar-SA"/>
              </w:rPr>
              <w:t>5</w:t>
            </w:r>
            <w:r>
              <w:rPr>
                <w:rFonts w:hint="default" w:ascii="宋体" w:hAnsi="宋体" w:eastAsia="宋体" w:cs="宋体"/>
                <w:bCs w:val="0"/>
                <w:snapToGrid w:val="0"/>
                <w:color w:val="000000"/>
                <w:spacing w:val="0"/>
                <w:sz w:val="21"/>
                <w:szCs w:val="21"/>
                <w:highlight w:val="none"/>
                <w:lang w:val="en-US" w:eastAsia="zh-CN" w:bidi="ar-SA"/>
              </w:rPr>
              <w:t>.中标人必须对所有的检验委托书和原始资料（包括检验照片、数据文字原始记录视频资料等）复印归档，随时接受采购人及相关管理部门检查。</w:t>
            </w:r>
          </w:p>
          <w:p>
            <w:pPr>
              <w:pStyle w:val="7"/>
              <w:ind w:firstLine="420" w:firstLineChars="200"/>
              <w:rPr>
                <w:rFonts w:hint="default" w:ascii="宋体" w:hAnsi="宋体" w:eastAsia="宋体" w:cs="宋体"/>
                <w:bCs w:val="0"/>
                <w:snapToGrid w:val="0"/>
                <w:color w:val="000000"/>
                <w:spacing w:val="0"/>
                <w:sz w:val="21"/>
                <w:szCs w:val="21"/>
                <w:highlight w:val="none"/>
                <w:lang w:val="en-US" w:eastAsia="zh-CN" w:bidi="ar-SA"/>
              </w:rPr>
            </w:pPr>
          </w:p>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55" w:type="pct"/>
            <w:vAlign w:val="center"/>
          </w:tcPr>
          <w:p>
            <w:pPr>
              <w:jc w:val="center"/>
              <w:rPr>
                <w:rFonts w:ascii="宋体" w:hAnsi="宋体" w:eastAsia="宋体" w:cs="宋体"/>
                <w:highlight w:val="none"/>
              </w:rPr>
            </w:pPr>
            <w:r>
              <w:rPr>
                <w:rFonts w:hint="eastAsia" w:ascii="宋体" w:hAnsi="宋体" w:eastAsia="宋体" w:cs="宋体"/>
                <w:highlight w:val="none"/>
              </w:rPr>
              <w:t>履约保证金</w:t>
            </w:r>
          </w:p>
        </w:tc>
        <w:tc>
          <w:tcPr>
            <w:tcW w:w="3844" w:type="pct"/>
          </w:tcPr>
          <w:p>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中标人与采购人签订本合同后30个工作日内，按照合同总额的5%以支票、汇票、本票或金融机构、担保机构出具的保函等非现金形式向采购人提交履约保证金。履约保证金有效期至项目服务期结束。</w:t>
            </w:r>
          </w:p>
          <w:p>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若中标人没有违约行为，履约保证金在合同有效期满后15个工作日内由采购人无息退还中标人；若中标人有违约行为，采购人有权在履约保证金中抵扣违约金或因此给采购人造成的实际经济损失。</w:t>
            </w:r>
          </w:p>
          <w:p>
            <w:pPr>
              <w:spacing w:line="360" w:lineRule="auto"/>
              <w:ind w:firstLine="420" w:firstLineChars="200"/>
              <w:rPr>
                <w:rFonts w:ascii="宋体" w:hAnsi="宋体" w:eastAsia="宋体" w:cs="宋体"/>
                <w:highlight w:val="none"/>
              </w:rPr>
            </w:pPr>
            <w:r>
              <w:rPr>
                <w:rFonts w:hint="eastAsia" w:ascii="宋体" w:hAnsi="宋体" w:eastAsia="宋体" w:cs="宋体"/>
                <w:highlight w:val="none"/>
                <w:lang w:eastAsia="zh-CN"/>
              </w:rPr>
              <w:t>下列任何一种情况发生时，采购人有权不予退还履约保证金：（一）有明显证据证明中标人未履行本合同约定的；（二）中标人有明显过错致采购人造成损失的；（三）中标人在实施项目过程中出现其它违法违规的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7" w:hRule="atLeast"/>
        </w:trPr>
        <w:tc>
          <w:tcPr>
            <w:tcW w:w="1155" w:type="pct"/>
            <w:vAlign w:val="center"/>
          </w:tcPr>
          <w:p>
            <w:pPr>
              <w:jc w:val="center"/>
              <w:rPr>
                <w:rFonts w:ascii="宋体" w:hAnsi="宋体" w:eastAsia="宋体" w:cs="宋体"/>
                <w:highlight w:val="none"/>
              </w:rPr>
            </w:pPr>
            <w:r>
              <w:rPr>
                <w:rFonts w:hint="eastAsia" w:ascii="宋体" w:hAnsi="宋体" w:eastAsia="宋体" w:cs="宋体"/>
                <w:highlight w:val="none"/>
              </w:rPr>
              <w:t>其他</w:t>
            </w:r>
          </w:p>
        </w:tc>
        <w:tc>
          <w:tcPr>
            <w:tcW w:w="3844" w:type="pct"/>
          </w:tcPr>
          <w:p>
            <w:pPr>
              <w:pStyle w:val="2"/>
              <w:rPr>
                <w:rFonts w:hint="eastAsia" w:ascii="Arial" w:hAnsi="Arial" w:eastAsia="Arial" w:cs="Arial"/>
                <w:b/>
                <w:bCs/>
                <w:snapToGrid w:val="0"/>
                <w:color w:val="000000"/>
                <w:sz w:val="21"/>
                <w:szCs w:val="21"/>
                <w:highlight w:val="none"/>
                <w:lang w:val="en-US" w:eastAsia="zh-CN" w:bidi="ar-SA"/>
              </w:rPr>
            </w:pPr>
            <w:r>
              <w:rPr>
                <w:rFonts w:hint="eastAsia" w:ascii="Arial" w:hAnsi="Arial" w:eastAsia="Arial" w:cs="Arial"/>
                <w:b/>
                <w:bCs/>
                <w:snapToGrid w:val="0"/>
                <w:color w:val="000000"/>
                <w:sz w:val="21"/>
                <w:szCs w:val="21"/>
                <w:highlight w:val="none"/>
                <w:lang w:val="en-US" w:eastAsia="zh-CN" w:bidi="ar-SA"/>
              </w:rPr>
              <w:t>（一）违约责任与赔偿损失 </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1. 中标人提供的服务不符合招标文件、投标文件或本合同规定的，采购人有权拒收，并且中标人须向采购人支付本合同总价10%的违约金。</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2. 中标人未能按本合同规定的时间提供服务，从逾期之日起每日按本合同总价3‰的数额向采购人支付违约金；逾期半个月以上的，采购人有权终止合同，由此造成的采购人经济损失由中标人承担。</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3. 其它违约责任按《中华人民共和国民法典》处理。</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4. 采购人保留对中标人违法违规行为通报给司法部门的权利。</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5. 对本规定未明确的事宜，因中标人违反国家法律法规及司法程序规定进行检验的，由中标人承担法律责任。</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6. 中标人应该在相关法律法规、政府文件指导下提供所有服务及收费，若违背有关规定，采购人有权对已签订合同进行解约。</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7. 除采购人在招标文件中明确外，中标人不得以任何方式转包、分包或挂靠本项目。如发现中标人以转包、分包或挂靠的方式谋取中标，采购人有权解除合同，中标人应向采购人支付合同金额的20%违约金，造成一切损失由中标人承担。</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8. 因中标人在鉴定活动中存在的问题被主管部门通报，暂停鉴定业务的，采购人有权委托第三方机构进行检验鉴定，费用由中标人负责，并且向采购人支付本合同总价20%的违约金。采购人有权将对涉事相关单位或人员移送追究刑事或民事责任及通报司法主管机构。</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9. 中标人因故意或者重大过失出具了虚假或错误的鉴定报告，应视为本合同第十一条第1项“中标人提供的服务不符合招标文件、投标文件或本合同规定”的情形，中标人应承担相应的违约责任。采购人依据中标人虚假或错误的鉴定报告作出的具体司法行政行为有错，侵害当事人合法权益而需要赔偿的，相关赔偿款项由中标人全额支付。</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10. 合同执行过程中发生的任何争议，如双方不能通过友好协商解决，甲、乙双方一致同意向采购人所在地广州市增城区人民法院提起诉讼。</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注：</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1）司法鉴定机构应当严格执行《广东司法鉴定收费项目和收费标准》（痕迹类严格按采购人需求中“痕迹类司法鉴定服务的鉴定基准收费标准”），除向委托人收取司法鉴定费用和按照《司法鉴定委托书》约定的与司法鉴定事项相关的费用外，不得擅自设立收费项目、分解收费项目、提高收费标准收费;不得违背委托人意愿，强制或变相强制提供鉴定服务并收费。严格执行明码标价规定，在显著位置公示司法鉴定项目、收费标准等信息，接受社会监督。</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（2）上述收费标准未列出的项目，参照《广东省发展改革委广东省司法厅关于我省司法鉴定收费政策的通知》（粤发改价格函 【2019】3103 号）等政府规定文件指导收费。涉及重大案件或者复杂疑难、特殊技术问题的司法鉴定事项，其鉴定项目收费标准可在政府指导基准价的基础上上浮不超过40%以内协商确定。重大案件或者复杂疑难、特殊技术问题的司法鉴定事项的认定标准，由省司法厅另行制定。</w:t>
            </w:r>
          </w:p>
          <w:p>
            <w:pPr>
              <w:rPr>
                <w:highlight w:val="none"/>
              </w:rPr>
            </w:pPr>
          </w:p>
        </w:tc>
      </w:tr>
    </w:tbl>
    <w:p>
      <w:pPr>
        <w:spacing w:before="267" w:line="360" w:lineRule="auto"/>
        <w:ind w:firstLine="15"/>
        <w:outlineLvl w:val="2"/>
        <w:rPr>
          <w:rFonts w:ascii="宋体" w:hAnsi="宋体" w:eastAsia="宋体" w:cs="宋体"/>
          <w:highlight w:val="none"/>
        </w:rPr>
      </w:pPr>
      <w:r>
        <w:rPr>
          <w:rFonts w:hint="eastAsia" w:ascii="宋体" w:hAnsi="宋体" w:eastAsia="宋体" w:cs="宋体"/>
          <w:highlight w:val="none"/>
        </w:rPr>
        <w:t>2.技术标准与要求</w:t>
      </w:r>
    </w:p>
    <w:tbl>
      <w:tblPr>
        <w:tblStyle w:val="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9"/>
        <w:gridCol w:w="1060"/>
        <w:gridCol w:w="1498"/>
        <w:gridCol w:w="1859"/>
        <w:gridCol w:w="408"/>
        <w:gridCol w:w="525"/>
        <w:gridCol w:w="1279"/>
        <w:gridCol w:w="1279"/>
        <w:gridCol w:w="773"/>
        <w:gridCol w:w="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96"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序序号</w:t>
            </w:r>
          </w:p>
        </w:tc>
        <w:tc>
          <w:tcPr>
            <w:tcW w:w="41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核心产品（“△”）</w:t>
            </w:r>
          </w:p>
        </w:tc>
        <w:tc>
          <w:tcPr>
            <w:tcW w:w="809"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品目名称</w:t>
            </w:r>
          </w:p>
        </w:tc>
        <w:tc>
          <w:tcPr>
            <w:tcW w:w="1000"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标的名称</w:t>
            </w:r>
          </w:p>
        </w:tc>
        <w:tc>
          <w:tcPr>
            <w:tcW w:w="232"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单位</w:t>
            </w:r>
          </w:p>
        </w:tc>
        <w:tc>
          <w:tcPr>
            <w:tcW w:w="294"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数量</w:t>
            </w:r>
          </w:p>
        </w:tc>
        <w:tc>
          <w:tcPr>
            <w:tcW w:w="693"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分项预算单价</w:t>
            </w:r>
          </w:p>
          <w:p>
            <w:pPr>
              <w:jc w:val="center"/>
              <w:rPr>
                <w:rFonts w:ascii="宋体" w:hAnsi="宋体" w:eastAsia="宋体" w:cs="宋体"/>
                <w:highlight w:val="none"/>
              </w:rPr>
            </w:pPr>
            <w:r>
              <w:rPr>
                <w:rFonts w:hint="eastAsia" w:ascii="宋体" w:hAnsi="宋体" w:eastAsia="宋体" w:cs="宋体"/>
                <w:highlight w:val="none"/>
              </w:rPr>
              <w:t>（元）</w:t>
            </w:r>
          </w:p>
        </w:tc>
        <w:tc>
          <w:tcPr>
            <w:tcW w:w="693"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分项预算总价</w:t>
            </w:r>
          </w:p>
          <w:p>
            <w:pPr>
              <w:jc w:val="center"/>
              <w:rPr>
                <w:rFonts w:ascii="宋体" w:hAnsi="宋体" w:eastAsia="宋体" w:cs="宋体"/>
                <w:highlight w:val="none"/>
              </w:rPr>
            </w:pPr>
            <w:r>
              <w:rPr>
                <w:rFonts w:hint="eastAsia" w:ascii="宋体" w:hAnsi="宋体" w:eastAsia="宋体" w:cs="宋体"/>
                <w:highlight w:val="none"/>
              </w:rPr>
              <w:t>（元）</w:t>
            </w:r>
          </w:p>
        </w:tc>
        <w:tc>
          <w:tcPr>
            <w:tcW w:w="425"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所属行业</w:t>
            </w:r>
          </w:p>
        </w:tc>
        <w:tc>
          <w:tcPr>
            <w:tcW w:w="236"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trPr>
        <w:tc>
          <w:tcPr>
            <w:tcW w:w="196" w:type="pct"/>
            <w:vAlign w:val="center"/>
          </w:tcPr>
          <w:p>
            <w:pPr>
              <w:jc w:val="center"/>
              <w:rPr>
                <w:rFonts w:ascii="宋体" w:hAnsi="宋体" w:eastAsia="宋体" w:cs="宋体"/>
                <w:highlight w:val="none"/>
              </w:rPr>
            </w:pPr>
            <w:r>
              <w:rPr>
                <w:rFonts w:hint="eastAsia" w:ascii="宋体" w:hAnsi="宋体" w:eastAsia="宋体" w:cs="宋体"/>
                <w:highlight w:val="none"/>
              </w:rPr>
              <w:t>1</w:t>
            </w:r>
          </w:p>
        </w:tc>
        <w:tc>
          <w:tcPr>
            <w:tcW w:w="417" w:type="pct"/>
            <w:vAlign w:val="center"/>
          </w:tcPr>
          <w:p>
            <w:pPr>
              <w:jc w:val="center"/>
              <w:rPr>
                <w:rFonts w:ascii="宋体" w:hAnsi="宋体" w:eastAsia="宋体" w:cs="宋体"/>
                <w:highlight w:val="none"/>
              </w:rPr>
            </w:pPr>
          </w:p>
        </w:tc>
        <w:tc>
          <w:tcPr>
            <w:tcW w:w="809"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其他专业技术服务</w:t>
            </w:r>
          </w:p>
        </w:tc>
        <w:tc>
          <w:tcPr>
            <w:tcW w:w="1000" w:type="pct"/>
            <w:vAlign w:val="center"/>
          </w:tcPr>
          <w:p>
            <w:pPr>
              <w:jc w:val="center"/>
              <w:rPr>
                <w:rFonts w:ascii="宋体" w:hAnsi="宋体" w:eastAsia="宋体" w:cs="宋体"/>
                <w:highlight w:val="none"/>
              </w:rPr>
            </w:pPr>
            <w:r>
              <w:rPr>
                <w:rFonts w:hint="eastAsia" w:ascii="宋体" w:hAnsi="宋体" w:eastAsia="宋体" w:cs="宋体"/>
                <w:highlight w:val="none"/>
              </w:rPr>
              <w:t>痕迹类司法鉴定服务</w:t>
            </w:r>
          </w:p>
        </w:tc>
        <w:tc>
          <w:tcPr>
            <w:tcW w:w="232" w:type="pct"/>
            <w:vAlign w:val="center"/>
          </w:tcPr>
          <w:p>
            <w:pPr>
              <w:jc w:val="center"/>
              <w:rPr>
                <w:rFonts w:ascii="宋体" w:hAnsi="宋体" w:eastAsia="宋体" w:cs="宋体"/>
                <w:highlight w:val="none"/>
              </w:rPr>
            </w:pPr>
            <w:r>
              <w:rPr>
                <w:rFonts w:hint="eastAsia" w:ascii="宋体" w:hAnsi="宋体" w:eastAsia="宋体" w:cs="宋体"/>
                <w:highlight w:val="none"/>
              </w:rPr>
              <w:t>项</w:t>
            </w:r>
          </w:p>
        </w:tc>
        <w:tc>
          <w:tcPr>
            <w:tcW w:w="294" w:type="pct"/>
            <w:vAlign w:val="center"/>
          </w:tcPr>
          <w:p>
            <w:pPr>
              <w:jc w:val="center"/>
              <w:rPr>
                <w:rFonts w:ascii="宋体" w:hAnsi="宋体" w:eastAsia="宋体" w:cs="宋体"/>
                <w:highlight w:val="none"/>
              </w:rPr>
            </w:pPr>
            <w:r>
              <w:rPr>
                <w:rFonts w:hint="eastAsia" w:ascii="宋体" w:hAnsi="宋体" w:eastAsia="宋体" w:cs="宋体"/>
                <w:highlight w:val="none"/>
              </w:rPr>
              <w:t>1.00</w:t>
            </w:r>
          </w:p>
        </w:tc>
        <w:tc>
          <w:tcPr>
            <w:tcW w:w="693"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7，500，000.00</w:t>
            </w:r>
          </w:p>
        </w:tc>
        <w:tc>
          <w:tcPr>
            <w:tcW w:w="693" w:type="pct"/>
            <w:vAlign w:val="center"/>
          </w:tcPr>
          <w:p>
            <w:pPr>
              <w:jc w:val="center"/>
              <w:rPr>
                <w:rFonts w:ascii="宋体" w:hAnsi="宋体" w:eastAsia="宋体" w:cs="宋体"/>
                <w:highlight w:val="none"/>
              </w:rPr>
            </w:pPr>
            <w:r>
              <w:rPr>
                <w:rFonts w:hint="eastAsia" w:ascii="宋体" w:hAnsi="宋体" w:eastAsia="宋体" w:cs="宋体"/>
                <w:highlight w:val="none"/>
                <w:lang w:val="en-US" w:eastAsia="zh-CN"/>
              </w:rPr>
              <w:t>7，500，000.00</w:t>
            </w:r>
          </w:p>
        </w:tc>
        <w:tc>
          <w:tcPr>
            <w:tcW w:w="425" w:type="pct"/>
            <w:vAlign w:val="center"/>
          </w:tcPr>
          <w:p>
            <w:pPr>
              <w:jc w:val="center"/>
              <w:rPr>
                <w:rFonts w:ascii="宋体" w:hAnsi="宋体" w:eastAsia="宋体" w:cs="宋体"/>
                <w:highlight w:val="none"/>
              </w:rPr>
            </w:pPr>
          </w:p>
        </w:tc>
        <w:tc>
          <w:tcPr>
            <w:tcW w:w="236" w:type="pct"/>
            <w:vAlign w:val="center"/>
          </w:tcPr>
          <w:p>
            <w:pPr>
              <w:jc w:val="center"/>
              <w:rPr>
                <w:rFonts w:ascii="宋体" w:hAnsi="宋体" w:eastAsia="宋体" w:cs="宋体"/>
                <w:highlight w:val="none"/>
              </w:rPr>
            </w:pPr>
            <w:r>
              <w:rPr>
                <w:rFonts w:hint="eastAsia" w:ascii="宋体" w:hAnsi="宋体" w:eastAsia="宋体" w:cs="宋体"/>
                <w:highlight w:val="none"/>
              </w:rPr>
              <w:t>详见附表一</w:t>
            </w:r>
          </w:p>
        </w:tc>
      </w:tr>
    </w:tbl>
    <w:p>
      <w:pPr>
        <w:spacing w:before="147" w:line="360" w:lineRule="auto"/>
        <w:ind w:firstLine="391"/>
        <w:rPr>
          <w:rFonts w:ascii="宋体" w:hAnsi="宋体" w:eastAsia="宋体" w:cs="宋体"/>
          <w:highlight w:val="none"/>
        </w:rPr>
      </w:pPr>
      <w:r>
        <w:rPr>
          <w:rFonts w:hint="eastAsia" w:ascii="宋体" w:hAnsi="宋体" w:eastAsia="宋体" w:cs="宋体"/>
          <w:spacing w:val="-1"/>
          <w:highlight w:val="none"/>
        </w:rPr>
        <w:t>注：若存在多项核心产品，当不同供应商提供的任意一项核心产品的品牌相同，则视同其是所响应核心产品品牌相同供应</w:t>
      </w:r>
      <w:r>
        <w:rPr>
          <w:rFonts w:hint="eastAsia" w:ascii="宋体" w:hAnsi="宋体" w:eastAsia="宋体" w:cs="宋体"/>
          <w:spacing w:val="-5"/>
          <w:highlight w:val="none"/>
        </w:rPr>
        <w:t>商。</w:t>
      </w:r>
    </w:p>
    <w:p>
      <w:pPr>
        <w:spacing w:before="312" w:line="360" w:lineRule="auto"/>
        <w:ind w:firstLine="16"/>
        <w:rPr>
          <w:rFonts w:ascii="宋体" w:hAnsi="宋体" w:eastAsia="宋体" w:cs="宋体"/>
          <w:highlight w:val="none"/>
        </w:rPr>
      </w:pPr>
      <w:r>
        <w:rPr>
          <w:rFonts w:hint="eastAsia" w:ascii="宋体" w:hAnsi="宋体" w:eastAsia="宋体" w:cs="宋体"/>
          <w:spacing w:val="12"/>
          <w:highlight w:val="none"/>
        </w:rPr>
        <w:t>附表一：</w:t>
      </w:r>
      <w:r>
        <w:rPr>
          <w:rFonts w:hint="eastAsia" w:ascii="宋体" w:hAnsi="宋体" w:eastAsia="宋体" w:cs="宋体"/>
          <w:b/>
          <w:bCs/>
          <w:spacing w:val="-1"/>
          <w:highlight w:val="none"/>
        </w:rPr>
        <w:t>（痕迹类司法鉴定服务）</w:t>
      </w:r>
    </w:p>
    <w:tbl>
      <w:tblPr>
        <w:tblStyle w:val="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64"/>
        <w:gridCol w:w="470"/>
        <w:gridCol w:w="66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252"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参数性质</w:t>
            </w:r>
          </w:p>
        </w:tc>
        <w:tc>
          <w:tcPr>
            <w:tcW w:w="249"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序号</w:t>
            </w:r>
          </w:p>
        </w:tc>
        <w:tc>
          <w:tcPr>
            <w:tcW w:w="3497"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2" w:type="pct"/>
            <w:vAlign w:val="center"/>
          </w:tcPr>
          <w:p>
            <w:pPr>
              <w:spacing w:line="360" w:lineRule="auto"/>
              <w:jc w:val="center"/>
              <w:rPr>
                <w:rFonts w:ascii="宋体" w:hAnsi="宋体" w:eastAsia="宋体" w:cs="宋体"/>
                <w:highlight w:val="none"/>
              </w:rPr>
            </w:pPr>
            <w:r>
              <w:rPr>
                <w:rFonts w:hint="eastAsia"/>
                <w:highlight w:val="none"/>
                <w:lang w:eastAsia="zh-CN"/>
              </w:rPr>
              <w:t>★</w:t>
            </w:r>
          </w:p>
        </w:tc>
        <w:tc>
          <w:tcPr>
            <w:tcW w:w="249" w:type="pct"/>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1</w:t>
            </w:r>
          </w:p>
        </w:tc>
        <w:tc>
          <w:tcPr>
            <w:tcW w:w="3497" w:type="pct"/>
          </w:tcPr>
          <w:p>
            <w:pPr>
              <w:rPr>
                <w:rFonts w:hint="eastAsia"/>
                <w:highlight w:val="none"/>
                <w:lang w:eastAsia="zh-CN"/>
              </w:rPr>
            </w:pPr>
            <w:r>
              <w:rPr>
                <w:rFonts w:hint="eastAsia"/>
                <w:highlight w:val="none"/>
                <w:lang w:eastAsia="zh-CN"/>
              </w:rPr>
              <w:t>★中标人应按采购人委托的服务项目进行检验，并出具司定鉴定报告（报告达到公安机关、检察院和法院的证据要求），中标人对报告负责。</w:t>
            </w:r>
          </w:p>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1252" w:type="pct"/>
            <w:vAlign w:val="center"/>
          </w:tcPr>
          <w:p>
            <w:pPr>
              <w:spacing w:line="360" w:lineRule="auto"/>
              <w:jc w:val="center"/>
              <w:rPr>
                <w:rFonts w:ascii="宋体" w:hAnsi="宋体" w:eastAsia="宋体" w:cs="宋体"/>
                <w:highlight w:val="none"/>
              </w:rPr>
            </w:pPr>
            <w:r>
              <w:rPr>
                <w:rFonts w:hint="eastAsia"/>
                <w:highlight w:val="none"/>
                <w:lang w:eastAsia="zh-CN"/>
              </w:rPr>
              <w:t>★</w:t>
            </w:r>
          </w:p>
        </w:tc>
        <w:tc>
          <w:tcPr>
            <w:tcW w:w="249" w:type="pct"/>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3497" w:type="pct"/>
          </w:tcPr>
          <w:p>
            <w:pPr>
              <w:rPr>
                <w:rFonts w:hint="eastAsia"/>
                <w:highlight w:val="none"/>
                <w:lang w:eastAsia="zh-CN"/>
              </w:rPr>
            </w:pPr>
            <w:r>
              <w:rPr>
                <w:rFonts w:hint="eastAsia"/>
                <w:highlight w:val="none"/>
                <w:lang w:eastAsia="zh-CN"/>
              </w:rPr>
              <w:t>★</w:t>
            </w:r>
            <w:r>
              <w:rPr>
                <w:rFonts w:hint="eastAsia"/>
                <w:highlight w:val="none"/>
                <w:lang w:val="en-US" w:eastAsia="zh-CN"/>
              </w:rPr>
              <w:t>.</w:t>
            </w:r>
            <w:r>
              <w:rPr>
                <w:rFonts w:hint="eastAsia"/>
                <w:highlight w:val="none"/>
                <w:lang w:eastAsia="zh-CN"/>
              </w:rPr>
              <w:t>鉴定基准收费标准 </w:t>
            </w:r>
          </w:p>
          <w:p>
            <w:pPr>
              <w:ind w:firstLine="420" w:firstLineChars="200"/>
              <w:rPr>
                <w:rFonts w:hint="eastAsia"/>
                <w:highlight w:val="none"/>
                <w:lang w:eastAsia="zh-CN"/>
              </w:rPr>
            </w:pPr>
            <w:r>
              <w:rPr>
                <w:rFonts w:hint="eastAsia"/>
                <w:highlight w:val="none"/>
                <w:lang w:eastAsia="zh-CN"/>
              </w:rPr>
              <w:t>鉴定服务项目收费按照《广东省发展改革委广东省司法厅关于我省司法鉴定收费政策的通知》（粤发改价格函【2019】3103 号）列明的类别、收费项目、基准价和有关通知精神执行，如遇相关部门对收费标准有新的规定或调整，从其规定。</w:t>
            </w:r>
          </w:p>
          <w:p>
            <w:pPr>
              <w:ind w:firstLine="420" w:firstLineChars="200"/>
              <w:rPr>
                <w:rFonts w:hint="eastAsia"/>
                <w:highlight w:val="none"/>
                <w:lang w:eastAsia="zh-CN"/>
              </w:rPr>
            </w:pPr>
            <w:r>
              <w:rPr>
                <w:rFonts w:hint="eastAsia"/>
                <w:highlight w:val="none"/>
                <w:lang w:eastAsia="zh-CN"/>
              </w:rPr>
              <w:t>如粤发改价格函【2019】3103号通知未列明的，结合采购人具体需求，按市场调节价格，由采购人和中标人商定。</w:t>
            </w:r>
          </w:p>
          <w:p>
            <w:pPr>
              <w:rPr>
                <w:rFonts w:hint="eastAsia"/>
                <w:highlight w:val="none"/>
                <w:lang w:eastAsia="zh-CN"/>
              </w:rPr>
            </w:pPr>
            <w:r>
              <w:rPr>
                <w:rFonts w:hint="eastAsia"/>
                <w:highlight w:val="none"/>
                <w:lang w:eastAsia="zh-CN"/>
              </w:rPr>
              <w:t>痕迹类司法鉴定服务的鉴定基准收费标准如下:</w:t>
            </w:r>
          </w:p>
          <w:p>
            <w:pPr>
              <w:rPr>
                <w:rFonts w:hint="eastAsia"/>
                <w:highlight w:val="none"/>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3688"/>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eastAsia="zh-CN"/>
                    </w:rPr>
                  </w:pPr>
                  <w:r>
                    <w:rPr>
                      <w:rFonts w:hint="eastAsia"/>
                      <w:highlight w:val="none"/>
                      <w:lang w:eastAsia="zh-CN"/>
                    </w:rPr>
                    <w:t>序号</w:t>
                  </w:r>
                </w:p>
              </w:tc>
              <w:tc>
                <w:tcPr>
                  <w:tcW w:w="4943" w:type="dxa"/>
                  <w:vAlign w:val="center"/>
                </w:tcPr>
                <w:p>
                  <w:pPr>
                    <w:rPr>
                      <w:rFonts w:hint="eastAsia"/>
                      <w:highlight w:val="none"/>
                      <w:lang w:eastAsia="zh-CN"/>
                    </w:rPr>
                  </w:pPr>
                  <w:r>
                    <w:rPr>
                      <w:rFonts w:hint="eastAsia"/>
                      <w:highlight w:val="none"/>
                      <w:lang w:eastAsia="zh-CN"/>
                    </w:rPr>
                    <w:t>服务内容</w:t>
                  </w:r>
                </w:p>
              </w:tc>
              <w:tc>
                <w:tcPr>
                  <w:tcW w:w="2840" w:type="dxa"/>
                  <w:vAlign w:val="center"/>
                </w:tcPr>
                <w:p>
                  <w:pPr>
                    <w:rPr>
                      <w:rFonts w:hint="eastAsia"/>
                      <w:highlight w:val="none"/>
                      <w:lang w:eastAsia="zh-CN"/>
                    </w:rPr>
                  </w:pPr>
                  <w:r>
                    <w:rPr>
                      <w:rFonts w:hint="eastAsia"/>
                      <w:highlight w:val="none"/>
                      <w:lang w:eastAsia="zh-CN"/>
                    </w:rPr>
                    <w:t>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35" w:type="dxa"/>
                  <w:vAlign w:val="center"/>
                </w:tcPr>
                <w:p>
                  <w:pPr>
                    <w:rPr>
                      <w:rFonts w:hint="eastAsia"/>
                      <w:highlight w:val="none"/>
                      <w:lang w:val="en-US" w:eastAsia="zh-CN"/>
                    </w:rPr>
                  </w:pPr>
                  <w:r>
                    <w:rPr>
                      <w:rFonts w:hint="eastAsia"/>
                      <w:highlight w:val="none"/>
                      <w:lang w:val="en-US" w:eastAsia="zh-CN"/>
                    </w:rPr>
                    <w:t>1</w:t>
                  </w:r>
                </w:p>
              </w:tc>
              <w:tc>
                <w:tcPr>
                  <w:tcW w:w="4943" w:type="dxa"/>
                  <w:vAlign w:val="center"/>
                </w:tcPr>
                <w:p>
                  <w:pPr>
                    <w:rPr>
                      <w:rFonts w:hint="eastAsia"/>
                      <w:highlight w:val="none"/>
                      <w:lang w:eastAsia="zh-CN"/>
                    </w:rPr>
                  </w:pPr>
                  <w:r>
                    <w:rPr>
                      <w:rFonts w:hint="eastAsia"/>
                      <w:highlight w:val="none"/>
                      <w:lang w:eastAsia="zh-CN"/>
                    </w:rPr>
                    <w:t>事故还原</w:t>
                  </w:r>
                </w:p>
              </w:tc>
              <w:tc>
                <w:tcPr>
                  <w:tcW w:w="2840" w:type="dxa"/>
                  <w:vAlign w:val="center"/>
                </w:tcPr>
                <w:p>
                  <w:pPr>
                    <w:rPr>
                      <w:rFonts w:hint="eastAsia"/>
                      <w:highlight w:val="none"/>
                      <w:lang w:eastAsia="zh-CN"/>
                    </w:rPr>
                  </w:pPr>
                  <w:r>
                    <w:rPr>
                      <w:rFonts w:hint="eastAsia"/>
                      <w:highlight w:val="none"/>
                      <w:lang w:eastAsia="zh-CN"/>
                    </w:rPr>
                    <w:t>12000 元/例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2</w:t>
                  </w:r>
                </w:p>
              </w:tc>
              <w:tc>
                <w:tcPr>
                  <w:tcW w:w="4943" w:type="dxa"/>
                  <w:vAlign w:val="center"/>
                </w:tcPr>
                <w:p>
                  <w:pPr>
                    <w:rPr>
                      <w:rFonts w:hint="eastAsia"/>
                      <w:highlight w:val="none"/>
                      <w:lang w:eastAsia="zh-CN"/>
                    </w:rPr>
                  </w:pPr>
                  <w:r>
                    <w:rPr>
                      <w:rFonts w:hint="eastAsia"/>
                      <w:highlight w:val="none"/>
                      <w:lang w:eastAsia="zh-CN"/>
                    </w:rPr>
                    <w:t>车辆安全技术状况检验鉴定（自行及人力三轮车）</w:t>
                  </w:r>
                </w:p>
              </w:tc>
              <w:tc>
                <w:tcPr>
                  <w:tcW w:w="2840" w:type="dxa"/>
                  <w:vAlign w:val="center"/>
                </w:tcPr>
                <w:p>
                  <w:pPr>
                    <w:rPr>
                      <w:rFonts w:hint="eastAsia"/>
                      <w:highlight w:val="none"/>
                      <w:lang w:eastAsia="zh-CN"/>
                    </w:rPr>
                  </w:pPr>
                  <w:r>
                    <w:rPr>
                      <w:rFonts w:hint="eastAsia"/>
                      <w:highlight w:val="none"/>
                      <w:lang w:eastAsia="zh-CN"/>
                    </w:rPr>
                    <w:t>300元/辆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3</w:t>
                  </w:r>
                </w:p>
              </w:tc>
              <w:tc>
                <w:tcPr>
                  <w:tcW w:w="4943" w:type="dxa"/>
                  <w:vAlign w:val="center"/>
                </w:tcPr>
                <w:p>
                  <w:pPr>
                    <w:rPr>
                      <w:rFonts w:hint="eastAsia"/>
                      <w:highlight w:val="none"/>
                      <w:lang w:eastAsia="zh-CN"/>
                    </w:rPr>
                  </w:pPr>
                  <w:r>
                    <w:rPr>
                      <w:rFonts w:hint="eastAsia"/>
                      <w:highlight w:val="none"/>
                      <w:lang w:eastAsia="zh-CN"/>
                    </w:rPr>
                    <w:t>车辆安全技术状况检验鉴定（电动车、摩托车）</w:t>
                  </w:r>
                </w:p>
              </w:tc>
              <w:tc>
                <w:tcPr>
                  <w:tcW w:w="2840" w:type="dxa"/>
                  <w:vAlign w:val="center"/>
                </w:tcPr>
                <w:p>
                  <w:pPr>
                    <w:rPr>
                      <w:rFonts w:hint="eastAsia"/>
                      <w:highlight w:val="none"/>
                      <w:lang w:eastAsia="zh-CN"/>
                    </w:rPr>
                  </w:pPr>
                  <w:r>
                    <w:rPr>
                      <w:rFonts w:hint="eastAsia"/>
                      <w:highlight w:val="none"/>
                      <w:lang w:eastAsia="zh-CN"/>
                    </w:rPr>
                    <w:t>500元/辆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4</w:t>
                  </w:r>
                </w:p>
              </w:tc>
              <w:tc>
                <w:tcPr>
                  <w:tcW w:w="4943" w:type="dxa"/>
                  <w:vAlign w:val="center"/>
                </w:tcPr>
                <w:p>
                  <w:pPr>
                    <w:rPr>
                      <w:rFonts w:hint="eastAsia"/>
                      <w:highlight w:val="none"/>
                      <w:lang w:eastAsia="zh-CN"/>
                    </w:rPr>
                  </w:pPr>
                  <w:r>
                    <w:rPr>
                      <w:rFonts w:hint="eastAsia"/>
                      <w:highlight w:val="none"/>
                      <w:lang w:eastAsia="zh-CN"/>
                    </w:rPr>
                    <w:t>车辆安全技术状况检验鉴定（小型汽车）</w:t>
                  </w:r>
                </w:p>
              </w:tc>
              <w:tc>
                <w:tcPr>
                  <w:tcW w:w="2840" w:type="dxa"/>
                  <w:vAlign w:val="center"/>
                </w:tcPr>
                <w:p>
                  <w:pPr>
                    <w:rPr>
                      <w:rFonts w:hint="eastAsia"/>
                      <w:highlight w:val="none"/>
                      <w:lang w:eastAsia="zh-CN"/>
                    </w:rPr>
                  </w:pPr>
                  <w:r>
                    <w:rPr>
                      <w:rFonts w:hint="eastAsia"/>
                      <w:highlight w:val="none"/>
                      <w:lang w:eastAsia="zh-CN"/>
                    </w:rPr>
                    <w:t>800元/辆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5</w:t>
                  </w:r>
                </w:p>
              </w:tc>
              <w:tc>
                <w:tcPr>
                  <w:tcW w:w="4943" w:type="dxa"/>
                  <w:vAlign w:val="center"/>
                </w:tcPr>
                <w:p>
                  <w:pPr>
                    <w:rPr>
                      <w:rFonts w:hint="eastAsia"/>
                      <w:highlight w:val="none"/>
                      <w:lang w:eastAsia="zh-CN"/>
                    </w:rPr>
                  </w:pPr>
                  <w:r>
                    <w:rPr>
                      <w:rFonts w:hint="eastAsia"/>
                      <w:highlight w:val="none"/>
                      <w:lang w:eastAsia="zh-CN"/>
                    </w:rPr>
                    <w:t>车辆安全技术状况检验鉴定（大型汽车，核定载重大于二吨的货车或十九座以上的客车）</w:t>
                  </w:r>
                </w:p>
              </w:tc>
              <w:tc>
                <w:tcPr>
                  <w:tcW w:w="2840" w:type="dxa"/>
                  <w:vAlign w:val="center"/>
                </w:tcPr>
                <w:p>
                  <w:pPr>
                    <w:rPr>
                      <w:rFonts w:hint="eastAsia"/>
                      <w:highlight w:val="none"/>
                      <w:lang w:eastAsia="zh-CN"/>
                    </w:rPr>
                  </w:pPr>
                  <w:r>
                    <w:rPr>
                      <w:rFonts w:hint="eastAsia"/>
                      <w:highlight w:val="none"/>
                      <w:lang w:eastAsia="zh-CN"/>
                    </w:rPr>
                    <w:t>1500元/辆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6</w:t>
                  </w:r>
                </w:p>
              </w:tc>
              <w:tc>
                <w:tcPr>
                  <w:tcW w:w="4943" w:type="dxa"/>
                  <w:vAlign w:val="center"/>
                </w:tcPr>
                <w:p>
                  <w:pPr>
                    <w:rPr>
                      <w:rFonts w:hint="eastAsia"/>
                      <w:highlight w:val="none"/>
                      <w:lang w:eastAsia="zh-CN"/>
                    </w:rPr>
                  </w:pPr>
                  <w:r>
                    <w:rPr>
                      <w:rFonts w:hint="eastAsia"/>
                      <w:highlight w:val="none"/>
                      <w:lang w:eastAsia="zh-CN"/>
                    </w:rPr>
                    <w:t>车辆行驶速度鉴定</w:t>
                  </w:r>
                </w:p>
              </w:tc>
              <w:tc>
                <w:tcPr>
                  <w:tcW w:w="2840" w:type="dxa"/>
                  <w:vAlign w:val="center"/>
                </w:tcPr>
                <w:p>
                  <w:pPr>
                    <w:rPr>
                      <w:rFonts w:hint="eastAsia"/>
                      <w:highlight w:val="none"/>
                      <w:lang w:eastAsia="zh-CN"/>
                    </w:rPr>
                  </w:pPr>
                  <w:r>
                    <w:rPr>
                      <w:rFonts w:hint="eastAsia"/>
                      <w:highlight w:val="none"/>
                      <w:lang w:eastAsia="zh-CN"/>
                    </w:rPr>
                    <w:t>3360元/辆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7</w:t>
                  </w:r>
                </w:p>
              </w:tc>
              <w:tc>
                <w:tcPr>
                  <w:tcW w:w="4943" w:type="dxa"/>
                  <w:vAlign w:val="center"/>
                </w:tcPr>
                <w:p>
                  <w:pPr>
                    <w:rPr>
                      <w:rFonts w:hint="eastAsia"/>
                      <w:highlight w:val="none"/>
                      <w:lang w:eastAsia="zh-CN"/>
                    </w:rPr>
                  </w:pPr>
                  <w:r>
                    <w:rPr>
                      <w:rFonts w:hint="eastAsia"/>
                      <w:highlight w:val="none"/>
                      <w:lang w:eastAsia="zh-CN"/>
                    </w:rPr>
                    <w:t>车辆痕迹鉴定 </w:t>
                  </w:r>
                </w:p>
              </w:tc>
              <w:tc>
                <w:tcPr>
                  <w:tcW w:w="2840" w:type="dxa"/>
                  <w:vAlign w:val="center"/>
                </w:tcPr>
                <w:p>
                  <w:pPr>
                    <w:rPr>
                      <w:rFonts w:hint="eastAsia"/>
                      <w:highlight w:val="none"/>
                      <w:lang w:eastAsia="zh-CN"/>
                    </w:rPr>
                  </w:pPr>
                  <w:r>
                    <w:rPr>
                      <w:rFonts w:hint="eastAsia"/>
                      <w:highlight w:val="none"/>
                      <w:lang w:eastAsia="zh-CN"/>
                    </w:rPr>
                    <w:t>1680元/辆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8</w:t>
                  </w:r>
                </w:p>
              </w:tc>
              <w:tc>
                <w:tcPr>
                  <w:tcW w:w="4943" w:type="dxa"/>
                  <w:vAlign w:val="center"/>
                </w:tcPr>
                <w:p>
                  <w:pPr>
                    <w:rPr>
                      <w:rFonts w:hint="eastAsia"/>
                      <w:highlight w:val="none"/>
                      <w:lang w:eastAsia="zh-CN"/>
                    </w:rPr>
                  </w:pPr>
                  <w:r>
                    <w:rPr>
                      <w:rFonts w:hint="eastAsia"/>
                      <w:highlight w:val="none"/>
                      <w:lang w:eastAsia="zh-CN"/>
                    </w:rPr>
                    <w:t>车辆轮迹鉴定</w:t>
                  </w:r>
                </w:p>
              </w:tc>
              <w:tc>
                <w:tcPr>
                  <w:tcW w:w="2840" w:type="dxa"/>
                  <w:vAlign w:val="center"/>
                </w:tcPr>
                <w:p>
                  <w:pPr>
                    <w:rPr>
                      <w:rFonts w:hint="eastAsia"/>
                      <w:highlight w:val="none"/>
                      <w:lang w:eastAsia="zh-CN"/>
                    </w:rPr>
                  </w:pPr>
                  <w:r>
                    <w:rPr>
                      <w:rFonts w:hint="eastAsia"/>
                      <w:highlight w:val="none"/>
                      <w:lang w:eastAsia="zh-CN"/>
                    </w:rPr>
                    <w:t>1020元/个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 w:type="dxa"/>
                  <w:vAlign w:val="center"/>
                </w:tcPr>
                <w:p>
                  <w:pPr>
                    <w:rPr>
                      <w:rFonts w:hint="eastAsia"/>
                      <w:highlight w:val="none"/>
                      <w:lang w:val="en-US" w:eastAsia="zh-CN"/>
                    </w:rPr>
                  </w:pPr>
                  <w:r>
                    <w:rPr>
                      <w:rFonts w:hint="eastAsia"/>
                      <w:highlight w:val="none"/>
                      <w:lang w:val="en-US" w:eastAsia="zh-CN"/>
                    </w:rPr>
                    <w:t>9</w:t>
                  </w:r>
                </w:p>
              </w:tc>
              <w:tc>
                <w:tcPr>
                  <w:tcW w:w="4943" w:type="dxa"/>
                  <w:vAlign w:val="center"/>
                </w:tcPr>
                <w:p>
                  <w:pPr>
                    <w:rPr>
                      <w:rFonts w:hint="eastAsia"/>
                      <w:highlight w:val="none"/>
                      <w:lang w:eastAsia="zh-CN"/>
                    </w:rPr>
                  </w:pPr>
                  <w:r>
                    <w:rPr>
                      <w:rFonts w:hint="eastAsia"/>
                      <w:highlight w:val="none"/>
                      <w:lang w:eastAsia="zh-CN"/>
                    </w:rPr>
                    <w:t>痕迹显现</w:t>
                  </w:r>
                </w:p>
              </w:tc>
              <w:tc>
                <w:tcPr>
                  <w:tcW w:w="2840" w:type="dxa"/>
                  <w:vAlign w:val="center"/>
                </w:tcPr>
                <w:p>
                  <w:pPr>
                    <w:rPr>
                      <w:rFonts w:hint="eastAsia"/>
                      <w:highlight w:val="none"/>
                      <w:lang w:eastAsia="zh-CN"/>
                    </w:rPr>
                  </w:pPr>
                  <w:r>
                    <w:rPr>
                      <w:rFonts w:hint="eastAsia"/>
                      <w:highlight w:val="none"/>
                      <w:lang w:eastAsia="zh-CN"/>
                    </w:rPr>
                    <w:t>660元/件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10</w:t>
                  </w:r>
                </w:p>
              </w:tc>
              <w:tc>
                <w:tcPr>
                  <w:tcW w:w="4943" w:type="dxa"/>
                  <w:vAlign w:val="center"/>
                </w:tcPr>
                <w:p>
                  <w:pPr>
                    <w:rPr>
                      <w:rFonts w:hint="eastAsia"/>
                      <w:highlight w:val="none"/>
                      <w:lang w:eastAsia="zh-CN"/>
                    </w:rPr>
                  </w:pPr>
                  <w:r>
                    <w:rPr>
                      <w:rFonts w:hint="eastAsia"/>
                      <w:highlight w:val="none"/>
                      <w:lang w:eastAsia="zh-CN"/>
                    </w:rPr>
                    <w:t>实物照片与实物同一鉴定</w:t>
                  </w:r>
                </w:p>
              </w:tc>
              <w:tc>
                <w:tcPr>
                  <w:tcW w:w="2840" w:type="dxa"/>
                  <w:vAlign w:val="center"/>
                </w:tcPr>
                <w:p>
                  <w:pPr>
                    <w:rPr>
                      <w:rFonts w:hint="eastAsia"/>
                      <w:highlight w:val="none"/>
                      <w:lang w:eastAsia="zh-CN"/>
                    </w:rPr>
                  </w:pPr>
                  <w:r>
                    <w:rPr>
                      <w:rFonts w:hint="eastAsia"/>
                      <w:highlight w:val="none"/>
                      <w:lang w:eastAsia="zh-CN"/>
                    </w:rPr>
                    <w:t>720元/件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11</w:t>
                  </w:r>
                </w:p>
              </w:tc>
              <w:tc>
                <w:tcPr>
                  <w:tcW w:w="4943" w:type="dxa"/>
                  <w:vAlign w:val="center"/>
                </w:tcPr>
                <w:p>
                  <w:pPr>
                    <w:rPr>
                      <w:rFonts w:hint="eastAsia"/>
                      <w:highlight w:val="none"/>
                      <w:lang w:eastAsia="zh-CN"/>
                    </w:rPr>
                  </w:pPr>
                  <w:r>
                    <w:rPr>
                      <w:rFonts w:hint="eastAsia"/>
                      <w:highlight w:val="none"/>
                      <w:lang w:eastAsia="zh-CN"/>
                    </w:rPr>
                    <w:t>造痕客体与承痕客体关系鉴定（多次碾压）</w:t>
                  </w:r>
                </w:p>
              </w:tc>
              <w:tc>
                <w:tcPr>
                  <w:tcW w:w="2840" w:type="dxa"/>
                  <w:vAlign w:val="center"/>
                </w:tcPr>
                <w:p>
                  <w:pPr>
                    <w:rPr>
                      <w:rFonts w:hint="eastAsia"/>
                      <w:highlight w:val="none"/>
                      <w:lang w:eastAsia="zh-CN"/>
                    </w:rPr>
                  </w:pPr>
                  <w:r>
                    <w:rPr>
                      <w:rFonts w:hint="eastAsia"/>
                      <w:highlight w:val="none"/>
                      <w:lang w:val="en-US" w:eastAsia="zh-CN"/>
                    </w:rPr>
                    <w:t>4</w:t>
                  </w:r>
                  <w:r>
                    <w:rPr>
                      <w:rFonts w:hint="eastAsia"/>
                      <w:highlight w:val="none"/>
                      <w:lang w:eastAsia="zh-CN"/>
                    </w:rPr>
                    <w:t>500元/例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12</w:t>
                  </w:r>
                </w:p>
              </w:tc>
              <w:tc>
                <w:tcPr>
                  <w:tcW w:w="4943" w:type="dxa"/>
                  <w:vAlign w:val="center"/>
                </w:tcPr>
                <w:p>
                  <w:pPr>
                    <w:rPr>
                      <w:rFonts w:hint="eastAsia"/>
                      <w:highlight w:val="none"/>
                      <w:lang w:eastAsia="zh-CN"/>
                    </w:rPr>
                  </w:pPr>
                  <w:r>
                    <w:rPr>
                      <w:rFonts w:hint="eastAsia"/>
                      <w:highlight w:val="none"/>
                      <w:lang w:eastAsia="zh-CN"/>
                    </w:rPr>
                    <w:t>交通行为分析（推骑）</w:t>
                  </w:r>
                </w:p>
              </w:tc>
              <w:tc>
                <w:tcPr>
                  <w:tcW w:w="2840" w:type="dxa"/>
                  <w:vAlign w:val="center"/>
                </w:tcPr>
                <w:p>
                  <w:pPr>
                    <w:rPr>
                      <w:rFonts w:hint="eastAsia"/>
                      <w:highlight w:val="none"/>
                      <w:lang w:eastAsia="zh-CN"/>
                    </w:rPr>
                  </w:pPr>
                  <w:r>
                    <w:rPr>
                      <w:rFonts w:hint="eastAsia"/>
                      <w:highlight w:val="none"/>
                      <w:lang w:val="en-US" w:eastAsia="zh-CN"/>
                    </w:rPr>
                    <w:t>42</w:t>
                  </w:r>
                  <w:r>
                    <w:rPr>
                      <w:rFonts w:hint="eastAsia"/>
                      <w:highlight w:val="none"/>
                      <w:lang w:eastAsia="zh-CN"/>
                    </w:rPr>
                    <w:t>00元/例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13</w:t>
                  </w:r>
                </w:p>
              </w:tc>
              <w:tc>
                <w:tcPr>
                  <w:tcW w:w="4943" w:type="dxa"/>
                  <w:vAlign w:val="center"/>
                </w:tcPr>
                <w:p>
                  <w:pPr>
                    <w:rPr>
                      <w:rFonts w:hint="eastAsia"/>
                      <w:highlight w:val="none"/>
                      <w:lang w:eastAsia="zh-CN"/>
                    </w:rPr>
                  </w:pPr>
                  <w:r>
                    <w:rPr>
                      <w:rFonts w:hint="eastAsia"/>
                      <w:highlight w:val="none"/>
                      <w:lang w:eastAsia="zh-CN"/>
                    </w:rPr>
                    <w:t>驾车人确认</w:t>
                  </w:r>
                </w:p>
              </w:tc>
              <w:tc>
                <w:tcPr>
                  <w:tcW w:w="2840" w:type="dxa"/>
                  <w:vAlign w:val="center"/>
                </w:tcPr>
                <w:p>
                  <w:pPr>
                    <w:rPr>
                      <w:rFonts w:hint="eastAsia"/>
                      <w:highlight w:val="none"/>
                      <w:lang w:eastAsia="zh-CN"/>
                    </w:rPr>
                  </w:pPr>
                  <w:r>
                    <w:rPr>
                      <w:rFonts w:hint="eastAsia"/>
                      <w:highlight w:val="none"/>
                      <w:lang w:val="en-US" w:eastAsia="zh-CN"/>
                    </w:rPr>
                    <w:t>4</w:t>
                  </w:r>
                  <w:r>
                    <w:rPr>
                      <w:rFonts w:hint="eastAsia"/>
                      <w:highlight w:val="none"/>
                      <w:lang w:eastAsia="zh-CN"/>
                    </w:rPr>
                    <w:t>200元/例 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14</w:t>
                  </w:r>
                </w:p>
              </w:tc>
              <w:tc>
                <w:tcPr>
                  <w:tcW w:w="4943" w:type="dxa"/>
                  <w:vAlign w:val="center"/>
                </w:tcPr>
                <w:p>
                  <w:pPr>
                    <w:rPr>
                      <w:rFonts w:hint="eastAsia"/>
                      <w:highlight w:val="none"/>
                      <w:lang w:eastAsia="zh-CN"/>
                    </w:rPr>
                  </w:pPr>
                  <w:r>
                    <w:rPr>
                      <w:rFonts w:hint="eastAsia"/>
                      <w:highlight w:val="none"/>
                      <w:lang w:eastAsia="zh-CN"/>
                    </w:rPr>
                    <w:t>整体分离痕迹鉴定 </w:t>
                  </w:r>
                </w:p>
              </w:tc>
              <w:tc>
                <w:tcPr>
                  <w:tcW w:w="2840" w:type="dxa"/>
                  <w:vAlign w:val="center"/>
                </w:tcPr>
                <w:p>
                  <w:pPr>
                    <w:rPr>
                      <w:rFonts w:hint="eastAsia"/>
                      <w:highlight w:val="none"/>
                      <w:lang w:eastAsia="zh-CN"/>
                    </w:rPr>
                  </w:pPr>
                  <w:r>
                    <w:rPr>
                      <w:rFonts w:hint="eastAsia"/>
                      <w:highlight w:val="none"/>
                      <w:lang w:eastAsia="zh-CN"/>
                    </w:rPr>
                    <w:t>756元/件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15</w:t>
                  </w:r>
                </w:p>
              </w:tc>
              <w:tc>
                <w:tcPr>
                  <w:tcW w:w="4943" w:type="dxa"/>
                  <w:vAlign w:val="center"/>
                </w:tcPr>
                <w:p>
                  <w:pPr>
                    <w:rPr>
                      <w:rFonts w:hint="eastAsia"/>
                      <w:highlight w:val="none"/>
                      <w:lang w:eastAsia="zh-CN"/>
                    </w:rPr>
                  </w:pPr>
                  <w:r>
                    <w:rPr>
                      <w:rFonts w:hint="eastAsia"/>
                      <w:highlight w:val="none"/>
                      <w:lang w:eastAsia="zh-CN"/>
                    </w:rPr>
                    <w:t>车辆属性</w:t>
                  </w:r>
                </w:p>
              </w:tc>
              <w:tc>
                <w:tcPr>
                  <w:tcW w:w="2840" w:type="dxa"/>
                  <w:vAlign w:val="center"/>
                </w:tcPr>
                <w:p>
                  <w:pPr>
                    <w:rPr>
                      <w:rFonts w:hint="eastAsia"/>
                      <w:highlight w:val="none"/>
                      <w:lang w:eastAsia="zh-CN"/>
                    </w:rPr>
                  </w:pPr>
                  <w:r>
                    <w:rPr>
                      <w:rFonts w:hint="eastAsia"/>
                      <w:highlight w:val="none"/>
                      <w:lang w:eastAsia="zh-CN"/>
                    </w:rPr>
                    <w:t>1200元/辆 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16</w:t>
                  </w:r>
                </w:p>
              </w:tc>
              <w:tc>
                <w:tcPr>
                  <w:tcW w:w="4943" w:type="dxa"/>
                  <w:vAlign w:val="center"/>
                </w:tcPr>
                <w:p>
                  <w:pPr>
                    <w:rPr>
                      <w:rFonts w:hint="eastAsia"/>
                      <w:highlight w:val="none"/>
                      <w:lang w:eastAsia="zh-CN"/>
                    </w:rPr>
                  </w:pPr>
                  <w:r>
                    <w:rPr>
                      <w:rFonts w:hint="eastAsia"/>
                      <w:highlight w:val="none"/>
                      <w:lang w:eastAsia="zh-CN"/>
                    </w:rPr>
                    <w:t>事故成因分析 </w:t>
                  </w:r>
                </w:p>
              </w:tc>
              <w:tc>
                <w:tcPr>
                  <w:tcW w:w="2840" w:type="dxa"/>
                  <w:vAlign w:val="center"/>
                </w:tcPr>
                <w:p>
                  <w:pPr>
                    <w:rPr>
                      <w:rFonts w:hint="eastAsia"/>
                      <w:highlight w:val="none"/>
                      <w:lang w:eastAsia="zh-CN"/>
                    </w:rPr>
                  </w:pPr>
                  <w:r>
                    <w:rPr>
                      <w:rFonts w:hint="eastAsia"/>
                      <w:highlight w:val="none"/>
                      <w:lang w:val="en-US" w:eastAsia="zh-CN"/>
                    </w:rPr>
                    <w:t>4</w:t>
                  </w:r>
                  <w:r>
                    <w:rPr>
                      <w:rFonts w:hint="eastAsia"/>
                      <w:highlight w:val="none"/>
                      <w:lang w:eastAsia="zh-CN"/>
                    </w:rPr>
                    <w:t>800元/例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17</w:t>
                  </w:r>
                </w:p>
              </w:tc>
              <w:tc>
                <w:tcPr>
                  <w:tcW w:w="4943" w:type="dxa"/>
                  <w:vAlign w:val="center"/>
                </w:tcPr>
                <w:p>
                  <w:pPr>
                    <w:rPr>
                      <w:rFonts w:hint="eastAsia"/>
                      <w:highlight w:val="none"/>
                      <w:lang w:eastAsia="zh-CN"/>
                    </w:rPr>
                  </w:pPr>
                  <w:r>
                    <w:rPr>
                      <w:rFonts w:hint="eastAsia"/>
                      <w:highlight w:val="none"/>
                      <w:lang w:eastAsia="zh-CN"/>
                    </w:rPr>
                    <w:t>信号灯运行状况分析</w:t>
                  </w:r>
                </w:p>
              </w:tc>
              <w:tc>
                <w:tcPr>
                  <w:tcW w:w="2840" w:type="dxa"/>
                  <w:vAlign w:val="center"/>
                </w:tcPr>
                <w:p>
                  <w:pPr>
                    <w:rPr>
                      <w:rFonts w:hint="eastAsia"/>
                      <w:highlight w:val="none"/>
                      <w:lang w:val="en-US" w:eastAsia="zh-CN"/>
                    </w:rPr>
                  </w:pPr>
                  <w:r>
                    <w:rPr>
                      <w:rFonts w:hint="eastAsia"/>
                      <w:highlight w:val="none"/>
                      <w:lang w:val="en-US" w:eastAsia="zh-CN"/>
                    </w:rPr>
                    <w:t>3360元/组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18</w:t>
                  </w:r>
                </w:p>
              </w:tc>
              <w:tc>
                <w:tcPr>
                  <w:tcW w:w="4943" w:type="dxa"/>
                  <w:vAlign w:val="center"/>
                </w:tcPr>
                <w:p>
                  <w:pPr>
                    <w:rPr>
                      <w:rFonts w:hint="eastAsia"/>
                      <w:highlight w:val="none"/>
                      <w:lang w:eastAsia="zh-CN"/>
                    </w:rPr>
                  </w:pPr>
                  <w:r>
                    <w:rPr>
                      <w:rFonts w:hint="eastAsia"/>
                      <w:highlight w:val="none"/>
                      <w:lang w:eastAsia="zh-CN"/>
                    </w:rPr>
                    <w:t>机动车辆号码化学显现</w:t>
                  </w:r>
                </w:p>
              </w:tc>
              <w:tc>
                <w:tcPr>
                  <w:tcW w:w="2840" w:type="dxa"/>
                  <w:vAlign w:val="center"/>
                </w:tcPr>
                <w:p>
                  <w:pPr>
                    <w:rPr>
                      <w:rFonts w:hint="eastAsia"/>
                      <w:highlight w:val="none"/>
                      <w:lang w:val="en-US" w:eastAsia="zh-CN"/>
                    </w:rPr>
                  </w:pPr>
                  <w:r>
                    <w:rPr>
                      <w:rFonts w:hint="eastAsia"/>
                      <w:highlight w:val="none"/>
                      <w:lang w:val="en-US" w:eastAsia="zh-CN"/>
                    </w:rPr>
                    <w:t>600元/组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rPr>
                      <w:rFonts w:hint="eastAsia"/>
                      <w:highlight w:val="none"/>
                      <w:lang w:val="en-US" w:eastAsia="zh-CN"/>
                    </w:rPr>
                  </w:pPr>
                  <w:r>
                    <w:rPr>
                      <w:rFonts w:hint="eastAsia"/>
                      <w:highlight w:val="none"/>
                      <w:lang w:val="en-US" w:eastAsia="zh-CN"/>
                    </w:rPr>
                    <w:t>19</w:t>
                  </w:r>
                </w:p>
              </w:tc>
              <w:tc>
                <w:tcPr>
                  <w:tcW w:w="4943" w:type="dxa"/>
                  <w:vAlign w:val="center"/>
                </w:tcPr>
                <w:p>
                  <w:pPr>
                    <w:rPr>
                      <w:rFonts w:hint="eastAsia"/>
                      <w:highlight w:val="none"/>
                      <w:lang w:eastAsia="zh-CN"/>
                    </w:rPr>
                  </w:pPr>
                  <w:r>
                    <w:rPr>
                      <w:rFonts w:hint="eastAsia"/>
                      <w:highlight w:val="none"/>
                      <w:lang w:eastAsia="zh-CN"/>
                    </w:rPr>
                    <w:t>痕迹鉴定文证审查</w:t>
                  </w:r>
                </w:p>
              </w:tc>
              <w:tc>
                <w:tcPr>
                  <w:tcW w:w="2840" w:type="dxa"/>
                  <w:vAlign w:val="center"/>
                </w:tcPr>
                <w:p>
                  <w:pPr>
                    <w:rPr>
                      <w:rFonts w:hint="eastAsia"/>
                      <w:highlight w:val="none"/>
                      <w:lang w:val="en-US" w:eastAsia="zh-CN"/>
                    </w:rPr>
                  </w:pPr>
                  <w:r>
                    <w:rPr>
                      <w:rFonts w:hint="eastAsia"/>
                      <w:highlight w:val="none"/>
                      <w:lang w:val="en-US" w:eastAsia="zh-CN"/>
                    </w:rPr>
                    <w:t>1200元/例</w:t>
                  </w:r>
                </w:p>
              </w:tc>
            </w:tr>
          </w:tbl>
          <w:p>
            <w:pPr>
              <w:rPr>
                <w:rFonts w:hint="eastAsia"/>
                <w:highlight w:val="none"/>
                <w:lang w:eastAsia="zh-CN"/>
              </w:rPr>
            </w:pPr>
          </w:p>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1252" w:type="pct"/>
            <w:vAlign w:val="center"/>
          </w:tcPr>
          <w:p>
            <w:pPr>
              <w:spacing w:line="360" w:lineRule="auto"/>
              <w:jc w:val="center"/>
              <w:rPr>
                <w:rFonts w:ascii="宋体" w:hAnsi="宋体" w:eastAsia="宋体" w:cs="宋体"/>
                <w:highlight w:val="none"/>
              </w:rPr>
            </w:pPr>
            <w:r>
              <w:rPr>
                <w:rFonts w:hint="eastAsia"/>
                <w:highlight w:val="none"/>
                <w:lang w:eastAsia="zh-CN"/>
              </w:rPr>
              <w:t>★</w:t>
            </w:r>
          </w:p>
        </w:tc>
        <w:tc>
          <w:tcPr>
            <w:tcW w:w="249" w:type="pct"/>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3497" w:type="pct"/>
          </w:tcPr>
          <w:p>
            <w:pPr>
              <w:rPr>
                <w:rFonts w:hint="eastAsia"/>
                <w:highlight w:val="none"/>
                <w:lang w:eastAsia="zh-CN"/>
              </w:rPr>
            </w:pPr>
            <w:r>
              <w:rPr>
                <w:rFonts w:hint="eastAsia"/>
                <w:highlight w:val="none"/>
                <w:lang w:eastAsia="zh-CN"/>
              </w:rPr>
              <w:t>★报价要求 </w:t>
            </w:r>
          </w:p>
          <w:p>
            <w:pPr>
              <w:ind w:firstLine="420" w:firstLineChars="200"/>
              <w:rPr>
                <w:rFonts w:hint="eastAsia"/>
                <w:highlight w:val="none"/>
                <w:lang w:eastAsia="zh-CN"/>
              </w:rPr>
            </w:pPr>
            <w:r>
              <w:rPr>
                <w:rFonts w:hint="eastAsia"/>
                <w:highlight w:val="none"/>
                <w:lang w:eastAsia="zh-CN"/>
              </w:rPr>
              <w:t>结算方式：检验费=实际完成数量</w:t>
            </w:r>
            <w:r>
              <w:rPr>
                <w:rFonts w:hint="eastAsia"/>
                <w:highlight w:val="none"/>
                <w:lang w:val="en-US" w:eastAsia="zh-CN"/>
              </w:rPr>
              <w:t>X</w:t>
            </w:r>
            <w:r>
              <w:rPr>
                <w:rFonts w:hint="eastAsia"/>
                <w:highlight w:val="none"/>
                <w:lang w:eastAsia="zh-CN"/>
              </w:rPr>
              <w:t>实际完成鉴定项目内容鉴定收费基准价</w:t>
            </w:r>
            <w:r>
              <w:rPr>
                <w:rFonts w:hint="eastAsia"/>
                <w:highlight w:val="none"/>
                <w:lang w:val="en-US" w:eastAsia="zh-CN"/>
              </w:rPr>
              <w:t>X</w:t>
            </w:r>
            <w:r>
              <w:rPr>
                <w:rFonts w:hint="eastAsia"/>
                <w:highlight w:val="none"/>
                <w:lang w:eastAsia="zh-CN"/>
              </w:rPr>
              <w:t>（1一投标下浮率）。</w:t>
            </w:r>
          </w:p>
          <w:p>
            <w:pPr>
              <w:rPr>
                <w:rFonts w:hint="eastAsia"/>
                <w:highlight w:val="none"/>
                <w:lang w:eastAsia="zh-CN"/>
              </w:rPr>
            </w:pPr>
            <w:r>
              <w:rPr>
                <w:rFonts w:hint="eastAsia"/>
                <w:highlight w:val="none"/>
                <w:lang w:eastAsia="zh-CN"/>
              </w:rPr>
              <w:t>投标报价：投标下浮率≤100%，且不得为负数,该下浮率必须为固定报价（如 20%），不得存在区间值（如20%</w:t>
            </w:r>
            <w:r>
              <w:rPr>
                <w:rFonts w:hint="eastAsia"/>
                <w:highlight w:val="none"/>
                <w:lang w:val="en-US" w:eastAsia="zh-CN"/>
              </w:rPr>
              <w:t>-</w:t>
            </w:r>
            <w:r>
              <w:rPr>
                <w:rFonts w:hint="eastAsia"/>
                <w:highlight w:val="none"/>
                <w:lang w:eastAsia="zh-CN"/>
              </w:rPr>
              <w:t>25%），否则将被视为非实质性响应招标文件，按无效投标处理。 </w:t>
            </w:r>
          </w:p>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52" w:type="pct"/>
            <w:vAlign w:val="center"/>
          </w:tcPr>
          <w:p>
            <w:pPr>
              <w:spacing w:line="360" w:lineRule="auto"/>
              <w:jc w:val="center"/>
              <w:rPr>
                <w:rFonts w:hint="eastAsia"/>
                <w:highlight w:val="none"/>
                <w:lang w:eastAsia="zh-CN"/>
              </w:rPr>
            </w:pPr>
          </w:p>
        </w:tc>
        <w:tc>
          <w:tcPr>
            <w:tcW w:w="249" w:type="pct"/>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3497" w:type="pct"/>
          </w:tcPr>
          <w:p>
            <w:pPr>
              <w:bidi w:val="0"/>
              <w:jc w:val="left"/>
              <w:rPr>
                <w:rFonts w:hint="default"/>
                <w:highlight w:val="none"/>
                <w:lang w:val="en-US" w:eastAsia="zh-CN"/>
              </w:rPr>
            </w:pPr>
            <w:r>
              <w:rPr>
                <w:rFonts w:hint="eastAsia"/>
                <w:highlight w:val="none"/>
                <w:lang w:val="en-US" w:eastAsia="zh-CN"/>
              </w:rPr>
              <w:t>服务要求</w:t>
            </w:r>
          </w:p>
          <w:p>
            <w:pPr>
              <w:bidi w:val="0"/>
              <w:ind w:firstLine="420" w:firstLineChars="200"/>
              <w:jc w:val="left"/>
              <w:rPr>
                <w:rFonts w:hint="eastAsia"/>
                <w:highlight w:val="none"/>
                <w:lang w:val="en-US" w:eastAsia="zh-CN"/>
              </w:rPr>
            </w:pPr>
            <w:r>
              <w:rPr>
                <w:rFonts w:hint="eastAsia"/>
                <w:highlight w:val="none"/>
                <w:lang w:val="en-US" w:eastAsia="zh-CN"/>
              </w:rPr>
              <w:t>1、除采购人在招标文件中明确外，中标人不得以任何方式转包、分包或挂本项目。如发现中标人以转包、分包或挂靠的方式谋取中标，采熟人有权解除合同、要求赔偿。</w:t>
            </w:r>
          </w:p>
          <w:p>
            <w:pPr>
              <w:bidi w:val="0"/>
              <w:ind w:firstLine="420" w:firstLineChars="200"/>
              <w:jc w:val="left"/>
              <w:rPr>
                <w:rFonts w:hint="eastAsia"/>
                <w:highlight w:val="none"/>
                <w:lang w:val="en-US" w:eastAsia="zh-CN"/>
              </w:rPr>
            </w:pPr>
            <w:r>
              <w:rPr>
                <w:rFonts w:hint="eastAsia"/>
                <w:highlight w:val="none"/>
                <w:lang w:val="en-US" w:eastAsia="zh-CN"/>
              </w:rPr>
              <w:t>▲2、中标人须组成包含所投项目鉴定业务范围持有司法鉴定资格证的鉴定人员的检验专班；派驻至少一名工作人员实行24小时驻点值班（办公地点及宿舍由采购人统筹），节假日照常值班。 </w:t>
            </w:r>
          </w:p>
          <w:p>
            <w:pPr>
              <w:bidi w:val="0"/>
              <w:ind w:firstLine="536" w:firstLineChars="0"/>
              <w:jc w:val="left"/>
              <w:rPr>
                <w:rFonts w:hint="eastAsia"/>
                <w:highlight w:val="none"/>
                <w:lang w:val="en-US" w:eastAsia="zh-CN"/>
              </w:rPr>
            </w:pPr>
            <w:r>
              <w:rPr>
                <w:rFonts w:hint="eastAsia"/>
                <w:highlight w:val="none"/>
                <w:lang w:val="en-US" w:eastAsia="zh-CN"/>
              </w:rPr>
              <w:t>▲3、中标人派遣具有鉴定资质的工作人员进驻采购人单位，并提供每日24小时无缝隙服务，保证电话有人接、检材有人收，检测有人做，结果有人核，报告有人发。派遣进驻人员应相对固定，未经采购人同意不得更换，项目服务期内提供中标人与派遣人签订的始终有效期内的劳务合同给采购人备案，派遣人员的工资、保险、社会保障等由中标人全权负责。（须在投标文件中提交承诺函）</w:t>
            </w:r>
          </w:p>
          <w:p>
            <w:pPr>
              <w:bidi w:val="0"/>
              <w:ind w:firstLine="536" w:firstLineChars="0"/>
              <w:jc w:val="left"/>
              <w:rPr>
                <w:rFonts w:hint="eastAsia"/>
                <w:highlight w:val="none"/>
                <w:lang w:val="en-US" w:eastAsia="zh-CN"/>
              </w:rPr>
            </w:pPr>
            <w:r>
              <w:rPr>
                <w:rFonts w:hint="eastAsia"/>
                <w:highlight w:val="none"/>
                <w:lang w:val="en-US" w:eastAsia="zh-CN"/>
              </w:rPr>
              <w:t>★4、一般情况下，在接到采购人的委托书后，中标人应按委托要求的进行检验，在 20个自然日内制作完成检验报告并送达采购人，特殊情况下需经采购人同意可延长至30个自然日。因办理案件需要，刑事立案的案件，须根据案件办理程序和采购人实际需求，由中标人严格按照鉴定程序并按约定时间按质量制作完成检验报告并送达采购人。委托受理后，因无正当理由未在规定时间内出具司法鉴定报告，或报告未能反映案件真实情况，采购人有权拒绝支付司法鉴定费用。并且，采购人有权委托其他鉴定机构进行鉴定，因此产生的费用由中标人负责，造成的相关法律后果也由中标人负责。 </w:t>
            </w:r>
          </w:p>
          <w:p>
            <w:pPr>
              <w:bidi w:val="0"/>
              <w:ind w:firstLine="536" w:firstLineChars="0"/>
              <w:jc w:val="left"/>
              <w:rPr>
                <w:rFonts w:hint="eastAsia"/>
                <w:highlight w:val="none"/>
                <w:lang w:val="en-US" w:eastAsia="zh-CN"/>
              </w:rPr>
            </w:pPr>
            <w:r>
              <w:rPr>
                <w:rFonts w:hint="eastAsia"/>
                <w:highlight w:val="none"/>
                <w:lang w:val="en-US" w:eastAsia="zh-CN"/>
              </w:rPr>
              <w:t>▲5、有特殊重大交通事故，需要紧急进行司法鉴定处理的，接到采购人电话通知后2个小时内必须抵达采购人指定地点开展鉴定工作。 </w:t>
            </w:r>
          </w:p>
          <w:p>
            <w:pPr>
              <w:bidi w:val="0"/>
              <w:ind w:firstLine="536" w:firstLineChars="0"/>
              <w:jc w:val="left"/>
              <w:rPr>
                <w:rFonts w:hint="eastAsia"/>
                <w:highlight w:val="none"/>
                <w:lang w:val="en-US" w:eastAsia="zh-CN"/>
              </w:rPr>
            </w:pPr>
            <w:r>
              <w:rPr>
                <w:rFonts w:hint="eastAsia"/>
                <w:highlight w:val="none"/>
                <w:lang w:val="en-US" w:eastAsia="zh-CN"/>
              </w:rPr>
              <w:t>6、中标人必须严格按照委托书要求的检验项目进行，不得擅自变更检验项目,坚持公正、正确、及时的原则，严格按照国家行业标准执行。</w:t>
            </w:r>
          </w:p>
          <w:p>
            <w:pPr>
              <w:bidi w:val="0"/>
              <w:ind w:firstLine="536" w:firstLineChars="0"/>
              <w:jc w:val="left"/>
              <w:rPr>
                <w:rFonts w:hint="eastAsia"/>
                <w:highlight w:val="none"/>
                <w:lang w:val="en-US" w:eastAsia="zh-CN"/>
              </w:rPr>
            </w:pPr>
            <w:r>
              <w:rPr>
                <w:rFonts w:hint="eastAsia"/>
                <w:highlight w:val="none"/>
                <w:lang w:val="en-US" w:eastAsia="zh-CN"/>
              </w:rPr>
              <w:t>7、中标人派驻采购人单位，自行提供车辆、办公设施、检材送检密码箱，运输监控。采购人单位为中标人提供可以正常开展工作的工作场所，中标人自行配备办公器材及用品（采购人不再支付中标人合同约定检验项目外的任何附加费用）。</w:t>
            </w:r>
          </w:p>
          <w:p>
            <w:pPr>
              <w:bidi w:val="0"/>
              <w:ind w:firstLine="536" w:firstLineChars="0"/>
              <w:jc w:val="left"/>
              <w:rPr>
                <w:rFonts w:hint="eastAsia"/>
                <w:highlight w:val="none"/>
                <w:lang w:val="en-US" w:eastAsia="zh-CN"/>
              </w:rPr>
            </w:pPr>
            <w:r>
              <w:rPr>
                <w:rFonts w:hint="eastAsia"/>
                <w:highlight w:val="none"/>
                <w:lang w:val="en-US" w:eastAsia="zh-CN"/>
              </w:rPr>
              <w:t>▲8、中标人的派驻人员须上门接收检材;为确保检材样本安全，检材样本在采购人单位监控视频下交接，与中标人的派驻人员进行签收确认并盖章，检材样本放入由采购人单位设置定期更换专用密码的密码箱（密码箱由中标人购买），密码仅限采购人单位固定人员以及中标人的固定检验人员持有。密码箱运送途中全程进行视频监控直至中标人持有专用密码的固定检验人员手中,并在中标人的监控视频下打开。中标人对每一次运送途中视频监控资料拷贝后制成光盘统一保管，随时接受采购人及相关部门检查。 </w:t>
            </w:r>
          </w:p>
          <w:p>
            <w:pPr>
              <w:bidi w:val="0"/>
              <w:ind w:firstLine="536" w:firstLineChars="0"/>
              <w:jc w:val="left"/>
              <w:rPr>
                <w:rFonts w:hint="eastAsia"/>
                <w:highlight w:val="none"/>
                <w:lang w:val="en-US" w:eastAsia="zh-CN"/>
              </w:rPr>
            </w:pPr>
            <w:r>
              <w:rPr>
                <w:rFonts w:hint="eastAsia"/>
                <w:highlight w:val="none"/>
                <w:lang w:val="en-US" w:eastAsia="zh-CN"/>
              </w:rPr>
              <w:t>9、中标人协助提取检材样本的人员，须对该鉴定回避。</w:t>
            </w:r>
          </w:p>
          <w:p>
            <w:pPr>
              <w:bidi w:val="0"/>
              <w:ind w:firstLine="420" w:firstLineChars="200"/>
              <w:jc w:val="left"/>
              <w:rPr>
                <w:rFonts w:hint="eastAsia"/>
                <w:highlight w:val="none"/>
                <w:lang w:val="en-US" w:eastAsia="zh-CN"/>
              </w:rPr>
            </w:pPr>
            <w:r>
              <w:rPr>
                <w:rFonts w:hint="eastAsia"/>
                <w:highlight w:val="none"/>
                <w:lang w:val="en-US" w:eastAsia="zh-CN"/>
              </w:rPr>
              <w:t>★10、中标人必须全程严格按照国家有关法律法规及采购人关于保密等的要求提供服务，对于管理不当、弄虑作假、衔私舞弊等造成服务项目泄密或造成其他负面影响负法律责任，采购人有权不退还中标人的履约保函，并中标人就造成采购人的损失另行赔偿，赔偿金额不超过合同总价的20%，并采购人可单方解除合同，同时保留追究中标人及其服务人员法律责任的权利。（提供承诺函，格式自拟）</w:t>
            </w:r>
          </w:p>
          <w:p>
            <w:pPr>
              <w:numPr>
                <w:ilvl w:val="0"/>
                <w:numId w:val="0"/>
              </w:numPr>
              <w:bidi w:val="0"/>
              <w:ind w:firstLine="420" w:firstLineChars="200"/>
              <w:jc w:val="left"/>
              <w:rPr>
                <w:highlight w:val="none"/>
                <w:lang w:val="en-US" w:eastAsia="zh-CN"/>
              </w:rPr>
            </w:pPr>
            <w:r>
              <w:rPr>
                <w:rFonts w:hint="eastAsia"/>
                <w:highlight w:val="none"/>
                <w:lang w:val="en-US" w:eastAsia="zh-CN"/>
              </w:rPr>
              <w:t>11、采购方因使用中标方出具的鉴定报告产生行政复议、行政诉讼或国家赔偿，中标方有关人员和经办事项人员应全程配合采购方工作并参与有关司法程序。根据《中华人民共和国刑事诉讼法》的规定，人民法院认为鉴定人有必要出庭作证的，鉴定人应根据法院出庭作证的通知，出庭作证，且采购人不承担出庭质证产生的所有费用。（提供承诺函，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252" w:type="pct"/>
          </w:tcPr>
          <w:p>
            <w:pPr>
              <w:spacing w:line="360" w:lineRule="auto"/>
              <w:rPr>
                <w:rFonts w:ascii="宋体" w:hAnsi="宋体" w:eastAsia="宋体" w:cs="宋体"/>
                <w:highlight w:val="none"/>
              </w:rPr>
            </w:pPr>
          </w:p>
          <w:p>
            <w:pPr>
              <w:spacing w:line="360" w:lineRule="auto"/>
              <w:rPr>
                <w:rFonts w:ascii="宋体" w:hAnsi="宋体" w:eastAsia="宋体" w:cs="宋体"/>
                <w:highlight w:val="none"/>
              </w:rPr>
            </w:pPr>
            <w:r>
              <w:rPr>
                <w:rFonts w:hint="eastAsia" w:ascii="宋体" w:hAnsi="宋体" w:eastAsia="宋体" w:cs="宋体"/>
                <w:highlight w:val="none"/>
              </w:rPr>
              <w:t>说明</w:t>
            </w:r>
          </w:p>
        </w:tc>
        <w:tc>
          <w:tcPr>
            <w:tcW w:w="3747" w:type="pct"/>
            <w:gridSpan w:val="2"/>
          </w:tcPr>
          <w:p>
            <w:pPr>
              <w:spacing w:line="360" w:lineRule="auto"/>
              <w:rPr>
                <w:rFonts w:ascii="宋体" w:hAnsi="宋体" w:eastAsia="宋体" w:cs="宋体"/>
                <w:highlight w:val="none"/>
              </w:rPr>
            </w:pPr>
            <w:r>
              <w:rPr>
                <w:rFonts w:hint="eastAsia" w:ascii="宋体" w:hAnsi="宋体" w:eastAsia="宋体" w:cs="宋体"/>
                <w:highlight w:val="none"/>
              </w:rPr>
              <w:t>打“★”号条款为实质性条款，若有任何一条负偏离或不满足则导致投标（响应）无效。打“▲”号条款为重要技术参数（如有），若有部分“▲”条款未响应或不满足，将根据评审要求影响其得分，但不作为无效投标（响应）条款。</w:t>
            </w:r>
          </w:p>
        </w:tc>
      </w:tr>
    </w:tbl>
    <w:p>
      <w:pPr>
        <w:spacing w:line="360" w:lineRule="auto"/>
        <w:rPr>
          <w:rFonts w:ascii="宋体" w:hAnsi="宋体" w:eastAsia="宋体" w:cs="宋体"/>
          <w:highlight w:val="none"/>
        </w:rPr>
      </w:pPr>
    </w:p>
    <w:p>
      <w:pPr>
        <w:pStyle w:val="2"/>
        <w:rPr>
          <w:highlight w:val="none"/>
        </w:rPr>
      </w:pPr>
    </w:p>
    <w:p>
      <w:pPr>
        <w:spacing w:before="90" w:line="480" w:lineRule="auto"/>
        <w:rPr>
          <w:rFonts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2</w:t>
      </w:r>
      <w:r>
        <w:rPr>
          <w:rFonts w:hint="eastAsia" w:ascii="宋体" w:hAnsi="宋体" w:eastAsia="宋体" w:cs="宋体"/>
          <w:b/>
          <w:bCs/>
          <w:highlight w:val="none"/>
        </w:rPr>
        <w:t>（</w:t>
      </w:r>
      <w:r>
        <w:rPr>
          <w:rFonts w:hint="eastAsia" w:ascii="宋体" w:hAnsi="宋体" w:eastAsia="宋体" w:cs="宋体"/>
          <w:b/>
          <w:bCs/>
          <w:snapToGrid w:val="0"/>
          <w:color w:val="000000"/>
          <w:spacing w:val="0"/>
          <w:sz w:val="21"/>
          <w:szCs w:val="21"/>
          <w:highlight w:val="none"/>
          <w:lang w:val="en-US" w:eastAsia="zh-CN" w:bidi="ar-SA"/>
        </w:rPr>
        <w:t>法医类司法鉴定服务</w:t>
      </w:r>
      <w:r>
        <w:rPr>
          <w:rFonts w:hint="eastAsia" w:ascii="宋体" w:hAnsi="宋体" w:eastAsia="宋体" w:cs="宋体"/>
          <w:b/>
          <w:bCs/>
          <w:spacing w:val="-44"/>
          <w:highlight w:val="none"/>
        </w:rPr>
        <w:t>）</w:t>
      </w:r>
      <w:r>
        <w:rPr>
          <w:rFonts w:hint="eastAsia" w:ascii="宋体" w:hAnsi="宋体" w:eastAsia="宋体" w:cs="宋体"/>
          <w:spacing w:val="-44"/>
          <w:highlight w:val="none"/>
        </w:rPr>
        <w:t>：</w:t>
      </w:r>
    </w:p>
    <w:p>
      <w:pPr>
        <w:spacing w:line="480" w:lineRule="auto"/>
        <w:rPr>
          <w:rFonts w:ascii="宋体" w:hAnsi="宋体" w:eastAsia="宋体" w:cs="宋体"/>
          <w:highlight w:val="none"/>
        </w:rPr>
      </w:pPr>
      <w:r>
        <w:rPr>
          <w:rFonts w:hint="eastAsia" w:ascii="宋体" w:hAnsi="宋体" w:eastAsia="宋体" w:cs="宋体"/>
          <w:highlight w:val="none"/>
        </w:rPr>
        <w:t>1.主要商务要求</w:t>
      </w:r>
    </w:p>
    <w:tbl>
      <w:tblPr>
        <w:tblStyle w:val="6"/>
        <w:tblW w:w="498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77"/>
        <w:gridCol w:w="7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55" w:type="pct"/>
            <w:vAlign w:val="center"/>
          </w:tcPr>
          <w:p>
            <w:pPr>
              <w:spacing w:line="480" w:lineRule="auto"/>
              <w:jc w:val="center"/>
              <w:rPr>
                <w:rFonts w:ascii="宋体" w:hAnsi="宋体" w:eastAsia="宋体" w:cs="宋体"/>
                <w:highlight w:val="none"/>
              </w:rPr>
            </w:pPr>
            <w:r>
              <w:rPr>
                <w:rFonts w:hint="eastAsia" w:ascii="宋体" w:hAnsi="宋体" w:eastAsia="宋体" w:cs="宋体"/>
                <w:highlight w:val="none"/>
              </w:rPr>
              <w:t>标的提供的时间</w:t>
            </w:r>
          </w:p>
        </w:tc>
        <w:tc>
          <w:tcPr>
            <w:tcW w:w="3844" w:type="pct"/>
          </w:tcPr>
          <w:p>
            <w:pPr>
              <w:rPr>
                <w:highlight w:val="none"/>
              </w:rPr>
            </w:pPr>
            <w:r>
              <w:rPr>
                <w:rFonts w:hint="eastAsia"/>
                <w:highlight w:val="none"/>
              </w:rPr>
              <w:t>服务期自合同签订</w:t>
            </w:r>
            <w:r>
              <w:rPr>
                <w:rFonts w:hint="eastAsia"/>
                <w:highlight w:val="none"/>
                <w:lang w:eastAsia="zh-CN"/>
              </w:rPr>
              <w:t>之</w:t>
            </w:r>
            <w:r>
              <w:rPr>
                <w:rFonts w:hint="eastAsia"/>
                <w:highlight w:val="none"/>
              </w:rPr>
              <w:t>日起2年或至对应包组预算费用据实结算用完为止。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5" w:type="pct"/>
            <w:vAlign w:val="center"/>
          </w:tcPr>
          <w:p>
            <w:pPr>
              <w:spacing w:line="480" w:lineRule="auto"/>
              <w:jc w:val="center"/>
              <w:rPr>
                <w:rFonts w:ascii="宋体" w:hAnsi="宋体" w:eastAsia="宋体" w:cs="宋体"/>
                <w:highlight w:val="none"/>
              </w:rPr>
            </w:pPr>
            <w:r>
              <w:rPr>
                <w:rFonts w:hint="eastAsia" w:ascii="宋体" w:hAnsi="宋体" w:eastAsia="宋体" w:cs="宋体"/>
                <w:highlight w:val="none"/>
              </w:rPr>
              <w:t>标的提供的地点</w:t>
            </w:r>
          </w:p>
        </w:tc>
        <w:tc>
          <w:tcPr>
            <w:tcW w:w="3844" w:type="pct"/>
          </w:tcPr>
          <w:p>
            <w:pPr>
              <w:rPr>
                <w:rFonts w:hint="default" w:eastAsia="宋体"/>
                <w:highlight w:val="none"/>
                <w:lang w:val="en-US" w:eastAsia="zh-CN"/>
              </w:rPr>
            </w:pPr>
            <w:r>
              <w:rPr>
                <w:rFonts w:hint="eastAsia" w:eastAsia="宋体"/>
                <w:highlight w:val="none"/>
                <w:lang w:val="en-US" w:eastAsia="zh-CN"/>
              </w:rPr>
              <w:t>广州市公安局增城区分局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55" w:type="pct"/>
            <w:vAlign w:val="center"/>
          </w:tcPr>
          <w:p>
            <w:pPr>
              <w:spacing w:line="480" w:lineRule="auto"/>
              <w:jc w:val="center"/>
              <w:rPr>
                <w:rFonts w:ascii="宋体" w:hAnsi="宋体" w:eastAsia="宋体" w:cs="宋体"/>
                <w:highlight w:val="none"/>
              </w:rPr>
            </w:pPr>
            <w:r>
              <w:rPr>
                <w:rFonts w:hint="eastAsia" w:ascii="宋体" w:hAnsi="宋体" w:eastAsia="宋体" w:cs="宋体"/>
                <w:highlight w:val="none"/>
              </w:rPr>
              <w:t>投标有效期</w:t>
            </w:r>
          </w:p>
        </w:tc>
        <w:tc>
          <w:tcPr>
            <w:tcW w:w="3844" w:type="pct"/>
          </w:tcPr>
          <w:p>
            <w:pPr>
              <w:spacing w:line="480" w:lineRule="auto"/>
              <w:rPr>
                <w:rFonts w:ascii="宋体" w:hAnsi="宋体" w:eastAsia="宋体" w:cs="宋体"/>
                <w:highlight w:val="none"/>
              </w:rPr>
            </w:pPr>
            <w:r>
              <w:rPr>
                <w:rFonts w:hint="eastAsia" w:ascii="宋体" w:hAnsi="宋体" w:eastAsia="宋体" w:cs="宋体"/>
                <w:highlight w:val="none"/>
              </w:rPr>
              <w:t>从提交投标（响应）文件的截止之日起90日历天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155" w:type="pct"/>
            <w:vAlign w:val="center"/>
          </w:tcPr>
          <w:p>
            <w:pPr>
              <w:jc w:val="center"/>
              <w:rPr>
                <w:rFonts w:ascii="宋体" w:hAnsi="宋体" w:eastAsia="宋体" w:cs="宋体"/>
                <w:highlight w:val="none"/>
              </w:rPr>
            </w:pPr>
            <w:r>
              <w:rPr>
                <w:rFonts w:hint="eastAsia" w:ascii="宋体" w:hAnsi="宋体" w:eastAsia="宋体" w:cs="宋体"/>
                <w:highlight w:val="none"/>
              </w:rPr>
              <w:t>付款方式</w:t>
            </w:r>
          </w:p>
        </w:tc>
        <w:tc>
          <w:tcPr>
            <w:tcW w:w="3844" w:type="pct"/>
          </w:tcPr>
          <w:p>
            <w:pPr>
              <w:spacing w:line="480" w:lineRule="auto"/>
              <w:rPr>
                <w:rFonts w:hint="eastAsia" w:ascii="宋体" w:hAnsi="宋体" w:eastAsia="宋体" w:cs="宋体"/>
                <w:highlight w:val="none"/>
              </w:rPr>
            </w:pPr>
            <w:r>
              <w:rPr>
                <w:rFonts w:hint="eastAsia" w:ascii="宋体" w:hAnsi="宋体" w:eastAsia="宋体" w:cs="宋体"/>
                <w:highlight w:val="none"/>
              </w:rPr>
              <w:t>1期：</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lang w:eastAsia="zh-CN"/>
              </w:rPr>
              <w:t>鉴定服务费按实际完成鉴定项目内容进行结算，具体数量以中标人出具并由采购人签收的具有法律效力的司法鉴定意见书为准，每3个月结算一次。</w:t>
            </w:r>
          </w:p>
          <w:p>
            <w:pPr>
              <w:spacing w:line="480" w:lineRule="auto"/>
              <w:rPr>
                <w:rFonts w:hint="eastAsia" w:ascii="宋体" w:hAnsi="宋体" w:eastAsia="宋体" w:cs="宋体"/>
                <w:highlight w:val="none"/>
                <w:lang w:val="en-US"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w:t>
            </w:r>
            <w:r>
              <w:rPr>
                <w:rFonts w:hint="eastAsia" w:ascii="宋体" w:hAnsi="宋体" w:eastAsia="宋体" w:cs="宋体"/>
                <w:highlight w:val="none"/>
                <w:lang w:eastAsia="zh-CN"/>
              </w:rPr>
              <w:t>中标人须在服务期每次满3个月后的次月15日前向采购人提供该3个月的费用结算清单及等额的正式发票，采购人于10个工作日内予以审核确认，并向财政申请办理该鉴定服务费的支付手续。如中标人未按时提供发票的，采购人有权顺延办理财政支付手续的时间。</w:t>
            </w:r>
            <w:r>
              <w:rPr>
                <w:rFonts w:hint="eastAsia" w:ascii="宋体" w:hAnsi="宋体" w:eastAsia="宋体" w:cs="宋体"/>
                <w:highlight w:val="none"/>
                <w:lang w:val="en-US" w:eastAsia="zh-CN"/>
              </w:rPr>
              <w:t xml:space="preserve">  </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3</w:t>
            </w:r>
            <w:r>
              <w:rPr>
                <w:rFonts w:hint="eastAsia" w:ascii="宋体" w:hAnsi="宋体" w:eastAsia="宋体" w:cs="宋体"/>
                <w:highlight w:val="none"/>
                <w:lang w:val="en-US" w:eastAsia="zh-CN"/>
              </w:rPr>
              <w:t>.</w:t>
            </w:r>
            <w:r>
              <w:rPr>
                <w:rFonts w:hint="eastAsia" w:ascii="宋体" w:hAnsi="宋体" w:eastAsia="宋体" w:cs="宋体"/>
                <w:highlight w:val="none"/>
                <w:lang w:eastAsia="zh-CN"/>
              </w:rPr>
              <w:t>付款方式:采用支票、银行汇票、电汇三种形式。</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val="en-US" w:eastAsia="zh-CN"/>
              </w:rPr>
              <w:t>4.</w:t>
            </w:r>
            <w:r>
              <w:rPr>
                <w:rFonts w:hint="eastAsia" w:ascii="宋体" w:hAnsi="宋体" w:eastAsia="宋体" w:cs="宋体"/>
                <w:highlight w:val="none"/>
                <w:lang w:eastAsia="zh-CN"/>
              </w:rPr>
              <w:t>按合同支付款项前，中标人必须先向采购人提供与支付金额相符的有效发票，且收款方、出具发票方、合同中标人均必须与中标人名称一致。</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5、中标人凭以下有效文件与采购人结算：</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）合同；</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）中标人开具的正式发票;</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）验收报告（加盖采购人公章）;</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（4）中标通知书</w:t>
            </w:r>
          </w:p>
          <w:p>
            <w:pPr>
              <w:spacing w:line="480" w:lineRule="auto"/>
              <w:rPr>
                <w:highlight w:val="none"/>
              </w:rPr>
            </w:pPr>
            <w:r>
              <w:rPr>
                <w:rFonts w:hint="eastAsia" w:ascii="宋体" w:hAnsi="宋体" w:eastAsia="宋体" w:cs="宋体"/>
                <w:highlight w:val="none"/>
                <w:lang w:eastAsia="zh-CN"/>
              </w:rPr>
              <w:t>6</w:t>
            </w:r>
            <w:r>
              <w:rPr>
                <w:rFonts w:hint="eastAsia" w:ascii="宋体" w:hAnsi="宋体" w:eastAsia="宋体" w:cs="宋体"/>
                <w:highlight w:val="none"/>
                <w:lang w:val="en-US" w:eastAsia="zh-CN"/>
              </w:rPr>
              <w:t>.</w:t>
            </w:r>
            <w:r>
              <w:rPr>
                <w:rFonts w:hint="eastAsia" w:ascii="宋体" w:hAnsi="宋体" w:eastAsia="宋体" w:cs="宋体"/>
                <w:highlight w:val="none"/>
                <w:lang w:eastAsia="zh-CN"/>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1" w:hRule="atLeast"/>
        </w:trPr>
        <w:tc>
          <w:tcPr>
            <w:tcW w:w="1155" w:type="pct"/>
            <w:vAlign w:val="center"/>
          </w:tcPr>
          <w:p>
            <w:pPr>
              <w:jc w:val="center"/>
              <w:rPr>
                <w:rFonts w:ascii="宋体" w:hAnsi="宋体" w:eastAsia="宋体" w:cs="宋体"/>
                <w:highlight w:val="none"/>
              </w:rPr>
            </w:pPr>
            <w:r>
              <w:rPr>
                <w:rFonts w:hint="eastAsia" w:ascii="宋体" w:hAnsi="宋体" w:eastAsia="宋体" w:cs="宋体"/>
                <w:highlight w:val="none"/>
              </w:rPr>
              <w:t>验收要求</w:t>
            </w:r>
          </w:p>
        </w:tc>
        <w:tc>
          <w:tcPr>
            <w:tcW w:w="3844" w:type="pct"/>
          </w:tcPr>
          <w:p>
            <w:pPr>
              <w:spacing w:line="360" w:lineRule="auto"/>
              <w:rPr>
                <w:rFonts w:hint="eastAsia" w:ascii="宋体" w:hAnsi="宋体" w:eastAsia="宋体" w:cs="宋体"/>
                <w:highlight w:val="none"/>
              </w:rPr>
            </w:pPr>
            <w:r>
              <w:rPr>
                <w:rFonts w:hint="eastAsia" w:ascii="宋体" w:hAnsi="宋体" w:eastAsia="宋体" w:cs="宋体"/>
                <w:highlight w:val="none"/>
              </w:rPr>
              <w:t>1期：</w:t>
            </w:r>
          </w:p>
          <w:p>
            <w:pPr>
              <w:pStyle w:val="7"/>
              <w:ind w:firstLine="420" w:firstLineChars="200"/>
              <w:rPr>
                <w:rFonts w:hint="eastAsia" w:ascii="宋体" w:hAnsi="宋体" w:eastAsia="宋体" w:cs="宋体"/>
                <w:bCs w:val="0"/>
                <w:snapToGrid w:val="0"/>
                <w:color w:val="000000"/>
                <w:spacing w:val="0"/>
                <w:sz w:val="21"/>
                <w:szCs w:val="21"/>
                <w:highlight w:val="none"/>
                <w:lang w:val="en-US" w:eastAsia="zh-CN" w:bidi="ar-SA"/>
              </w:rPr>
            </w:pPr>
            <w:r>
              <w:rPr>
                <w:rFonts w:hint="eastAsia" w:ascii="宋体" w:hAnsi="宋体" w:eastAsia="宋体" w:cs="宋体"/>
                <w:bCs w:val="0"/>
                <w:snapToGrid w:val="0"/>
                <w:color w:val="000000"/>
                <w:spacing w:val="0"/>
                <w:sz w:val="21"/>
                <w:szCs w:val="21"/>
                <w:highlight w:val="none"/>
                <w:lang w:val="en-US" w:eastAsia="zh-CN" w:bidi="ar-SA"/>
              </w:rPr>
              <w:t>1、中标人完成司法医类司法鉴定服务，出具具有法律效力的鉴定报告。</w:t>
            </w:r>
          </w:p>
          <w:p>
            <w:pPr>
              <w:pStyle w:val="7"/>
              <w:ind w:firstLine="420" w:firstLineChars="200"/>
              <w:rPr>
                <w:rFonts w:hint="default" w:ascii="宋体" w:hAnsi="宋体" w:eastAsia="宋体" w:cs="宋体"/>
                <w:bCs w:val="0"/>
                <w:snapToGrid w:val="0"/>
                <w:color w:val="000000"/>
                <w:spacing w:val="0"/>
                <w:sz w:val="21"/>
                <w:szCs w:val="21"/>
                <w:highlight w:val="none"/>
                <w:lang w:val="en-US" w:eastAsia="zh-CN" w:bidi="ar-SA"/>
              </w:rPr>
            </w:pPr>
            <w:r>
              <w:rPr>
                <w:rFonts w:hint="eastAsia" w:ascii="宋体" w:hAnsi="宋体" w:eastAsia="宋体" w:cs="宋体"/>
                <w:bCs w:val="0"/>
                <w:snapToGrid w:val="0"/>
                <w:color w:val="000000"/>
                <w:spacing w:val="0"/>
                <w:sz w:val="21"/>
                <w:szCs w:val="21"/>
                <w:highlight w:val="none"/>
                <w:lang w:val="en-US" w:eastAsia="zh-CN" w:bidi="ar-SA"/>
              </w:rPr>
              <w:t>2、</w:t>
            </w:r>
            <w:r>
              <w:rPr>
                <w:rFonts w:hint="default" w:ascii="宋体" w:hAnsi="宋体" w:eastAsia="宋体" w:cs="宋体"/>
                <w:bCs w:val="0"/>
                <w:snapToGrid w:val="0"/>
                <w:color w:val="000000"/>
                <w:spacing w:val="0"/>
                <w:sz w:val="21"/>
                <w:szCs w:val="21"/>
                <w:highlight w:val="none"/>
                <w:lang w:val="en-US" w:eastAsia="zh-CN" w:bidi="ar-SA"/>
              </w:rPr>
              <w:t>检验报告中的记录应具体详细，检验意见应精简明确。名词术语必须准确规范，不得使用俗语或外语译音。文书格式应统一按规定的文书格式规范制作并注明签发日期。</w:t>
            </w:r>
          </w:p>
          <w:p>
            <w:pPr>
              <w:pStyle w:val="7"/>
              <w:ind w:firstLine="420" w:firstLineChars="200"/>
              <w:rPr>
                <w:rFonts w:hint="default" w:ascii="宋体" w:hAnsi="宋体" w:eastAsia="宋体" w:cs="宋体"/>
                <w:bCs w:val="0"/>
                <w:snapToGrid w:val="0"/>
                <w:color w:val="000000"/>
                <w:spacing w:val="0"/>
                <w:sz w:val="21"/>
                <w:szCs w:val="21"/>
                <w:highlight w:val="none"/>
                <w:lang w:val="en-US" w:eastAsia="zh-CN" w:bidi="ar-SA"/>
              </w:rPr>
            </w:pPr>
            <w:r>
              <w:rPr>
                <w:rFonts w:hint="eastAsia" w:ascii="宋体" w:hAnsi="宋体" w:eastAsia="宋体" w:cs="宋体"/>
                <w:bCs w:val="0"/>
                <w:snapToGrid w:val="0"/>
                <w:color w:val="000000"/>
                <w:spacing w:val="0"/>
                <w:sz w:val="21"/>
                <w:szCs w:val="21"/>
                <w:highlight w:val="none"/>
                <w:lang w:val="en-US" w:eastAsia="zh-CN" w:bidi="ar-SA"/>
              </w:rPr>
              <w:t>3、</w:t>
            </w:r>
            <w:r>
              <w:rPr>
                <w:rFonts w:hint="default" w:ascii="宋体" w:hAnsi="宋体" w:eastAsia="宋体" w:cs="宋体"/>
                <w:bCs w:val="0"/>
                <w:snapToGrid w:val="0"/>
                <w:color w:val="000000"/>
                <w:spacing w:val="0"/>
                <w:sz w:val="21"/>
                <w:szCs w:val="21"/>
                <w:highlight w:val="none"/>
                <w:lang w:val="en-US" w:eastAsia="zh-CN" w:bidi="ar-SA"/>
              </w:rPr>
              <w:t>检验报告须由两名(或以上）专业技术人员签名(签名人员必须为中标人自有专业技术人员）并注明技术职称，并附职称、资格证书（其中至少一名工程师或技师）、鉴定机构司法鉴定许可证复印件，并加盖中标人印章。报告书一式叁份（电脑打印），一份交由中标人存档，两份交采购人备案存档。</w:t>
            </w:r>
          </w:p>
          <w:p>
            <w:pPr>
              <w:pStyle w:val="7"/>
              <w:ind w:firstLine="420" w:firstLineChars="200"/>
              <w:rPr>
                <w:rFonts w:hint="default" w:ascii="宋体" w:hAnsi="宋体" w:eastAsia="宋体" w:cs="宋体"/>
                <w:bCs w:val="0"/>
                <w:snapToGrid w:val="0"/>
                <w:color w:val="000000"/>
                <w:spacing w:val="0"/>
                <w:sz w:val="21"/>
                <w:szCs w:val="21"/>
                <w:highlight w:val="none"/>
                <w:lang w:val="en-US" w:eastAsia="zh-CN" w:bidi="ar-SA"/>
              </w:rPr>
            </w:pPr>
            <w:r>
              <w:rPr>
                <w:rFonts w:hint="eastAsia" w:ascii="宋体" w:hAnsi="宋体" w:eastAsia="宋体" w:cs="宋体"/>
                <w:bCs w:val="0"/>
                <w:snapToGrid w:val="0"/>
                <w:color w:val="000000"/>
                <w:spacing w:val="0"/>
                <w:sz w:val="21"/>
                <w:szCs w:val="21"/>
                <w:highlight w:val="none"/>
                <w:lang w:val="en-US" w:eastAsia="zh-CN" w:bidi="ar-SA"/>
              </w:rPr>
              <w:t>4、</w:t>
            </w:r>
            <w:r>
              <w:rPr>
                <w:rFonts w:hint="default" w:ascii="宋体" w:hAnsi="宋体" w:eastAsia="宋体" w:cs="宋体"/>
                <w:bCs w:val="0"/>
                <w:snapToGrid w:val="0"/>
                <w:color w:val="000000"/>
                <w:spacing w:val="0"/>
                <w:sz w:val="21"/>
                <w:szCs w:val="21"/>
                <w:highlight w:val="none"/>
                <w:lang w:val="en-US" w:eastAsia="zh-CN" w:bidi="ar-SA"/>
              </w:rPr>
              <w:t>中标人检验时，必须对所有检验的项目拍照或录像存档，并做好原始数据的文字记录，对当事人到场见证的应在原始检验记录上签名，如当事人不愿意签名的应作好记录；对当事人不按时到场见证的，视为自动放弃见证并做好记录。</w:t>
            </w:r>
          </w:p>
          <w:p>
            <w:pPr>
              <w:pStyle w:val="7"/>
              <w:ind w:firstLine="420" w:firstLineChars="200"/>
              <w:rPr>
                <w:rFonts w:hint="default" w:ascii="宋体" w:hAnsi="宋体" w:eastAsia="宋体" w:cs="宋体"/>
                <w:bCs w:val="0"/>
                <w:snapToGrid w:val="0"/>
                <w:color w:val="000000"/>
                <w:spacing w:val="0"/>
                <w:sz w:val="21"/>
                <w:szCs w:val="21"/>
                <w:highlight w:val="none"/>
                <w:lang w:val="en-US" w:eastAsia="zh-CN" w:bidi="ar-SA"/>
              </w:rPr>
            </w:pPr>
            <w:r>
              <w:rPr>
                <w:rFonts w:hint="eastAsia" w:ascii="宋体" w:hAnsi="宋体" w:eastAsia="宋体" w:cs="宋体"/>
                <w:bCs w:val="0"/>
                <w:snapToGrid w:val="0"/>
                <w:color w:val="000000"/>
                <w:spacing w:val="0"/>
                <w:sz w:val="21"/>
                <w:szCs w:val="21"/>
                <w:highlight w:val="none"/>
                <w:lang w:val="en-US" w:eastAsia="zh-CN" w:bidi="ar-SA"/>
              </w:rPr>
              <w:t>5、</w:t>
            </w:r>
            <w:r>
              <w:rPr>
                <w:rFonts w:hint="default" w:ascii="宋体" w:hAnsi="宋体" w:eastAsia="宋体" w:cs="宋体"/>
                <w:bCs w:val="0"/>
                <w:snapToGrid w:val="0"/>
                <w:color w:val="000000"/>
                <w:spacing w:val="0"/>
                <w:sz w:val="21"/>
                <w:szCs w:val="21"/>
                <w:highlight w:val="none"/>
                <w:lang w:val="en-US" w:eastAsia="zh-CN" w:bidi="ar-SA"/>
              </w:rPr>
              <w:t>中标人必须对所有的检验委托书和原始资料（包括检验照片、数据文字原始记录、视频资料等）复印归档，随时接受采购人及相关管理部门检查。</w:t>
            </w:r>
          </w:p>
          <w:p>
            <w:pPr>
              <w:pStyle w:val="7"/>
              <w:ind w:firstLine="420" w:firstLineChars="200"/>
              <w:rPr>
                <w:highlight w:val="none"/>
              </w:rPr>
            </w:pPr>
            <w:r>
              <w:rPr>
                <w:rFonts w:hint="default" w:ascii="宋体" w:hAnsi="宋体" w:eastAsia="宋体" w:cs="宋体"/>
                <w:bCs w:val="0"/>
                <w:snapToGrid w:val="0"/>
                <w:color w:val="000000"/>
                <w:spacing w:val="0"/>
                <w:sz w:val="21"/>
                <w:szCs w:val="21"/>
                <w:highlight w:val="none"/>
                <w:lang w:val="en-US" w:eastAsia="zh-CN" w:bidi="ar-SA"/>
              </w:rPr>
              <w:t>▲</w:t>
            </w:r>
            <w:r>
              <w:rPr>
                <w:rFonts w:hint="eastAsia" w:ascii="宋体" w:hAnsi="宋体" w:eastAsia="宋体" w:cs="宋体"/>
                <w:bCs w:val="0"/>
                <w:snapToGrid w:val="0"/>
                <w:color w:val="000000"/>
                <w:spacing w:val="0"/>
                <w:sz w:val="21"/>
                <w:szCs w:val="21"/>
                <w:highlight w:val="none"/>
                <w:lang w:val="en-US" w:eastAsia="zh-CN" w:bidi="ar-SA"/>
              </w:rPr>
              <w:t>6、</w:t>
            </w:r>
            <w:r>
              <w:rPr>
                <w:rFonts w:hint="default" w:ascii="宋体" w:hAnsi="宋体" w:eastAsia="宋体" w:cs="宋体"/>
                <w:bCs w:val="0"/>
                <w:snapToGrid w:val="0"/>
                <w:color w:val="000000"/>
                <w:spacing w:val="0"/>
                <w:sz w:val="21"/>
                <w:szCs w:val="21"/>
                <w:highlight w:val="none"/>
                <w:lang w:val="en-US" w:eastAsia="zh-CN" w:bidi="ar-SA"/>
              </w:rPr>
              <w:t>中标人委派人员上门接收血液样本及其他检材(生物样本及微量物证，如DNA 检材、油漆等)，或采购人自行送件;为确保检材样本安全，检材样本在采购人单位监控视频下交接，同时采购人单位将制作的《检验鉴定委托书》和《委托协议书》和控材清单进行委托，与中标人的派驻人员进行签收确认并盖章;检材样本放入由采购人单位设置定期更换专用密码的密码箱（密码箱由中标人购买）密码仅限采购人单位固定人员以及由标人的固定检验人员持有。对于中标人派人取件的,密码箱运送途中全程进行视频监控直至中标人持有专用密码的固定检验人员手中，并在中标人的监控视频下打开。中标人对每一次运送途中视频监控资料拷贝后制成光盘统一保管，随时接受采购人及相关部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55" w:type="pct"/>
            <w:vAlign w:val="center"/>
          </w:tcPr>
          <w:p>
            <w:pPr>
              <w:jc w:val="center"/>
              <w:rPr>
                <w:rFonts w:ascii="宋体" w:hAnsi="宋体" w:eastAsia="宋体" w:cs="宋体"/>
                <w:highlight w:val="none"/>
              </w:rPr>
            </w:pPr>
            <w:r>
              <w:rPr>
                <w:rFonts w:hint="eastAsia" w:ascii="宋体" w:hAnsi="宋体" w:eastAsia="宋体" w:cs="宋体"/>
                <w:highlight w:val="none"/>
              </w:rPr>
              <w:t>履约保证金</w:t>
            </w:r>
          </w:p>
        </w:tc>
        <w:tc>
          <w:tcPr>
            <w:tcW w:w="3844" w:type="pct"/>
          </w:tcPr>
          <w:p>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中标人与采购人签订本合同后30个工作日内，按照合同总额的5%以支票、汇票、本票或金融机构、担保机构出具的保函等非现金形式向采购人提交履约保证金。履约保证金有效期至项目服务期结束。</w:t>
            </w:r>
          </w:p>
          <w:p>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若中标人没有违约行为，履约保证金在合同有效期满后15个工作日内由采购人无息退还中标人；若中标人有违约行为，采购人有权在履约保证金中抵扣违约金或因此给采购人造成的实际经济损失。</w:t>
            </w:r>
          </w:p>
          <w:p>
            <w:pPr>
              <w:spacing w:line="360" w:lineRule="auto"/>
              <w:ind w:firstLine="420" w:firstLineChars="200"/>
              <w:rPr>
                <w:rFonts w:ascii="宋体" w:hAnsi="宋体" w:eastAsia="宋体" w:cs="宋体"/>
                <w:highlight w:val="none"/>
              </w:rPr>
            </w:pPr>
            <w:r>
              <w:rPr>
                <w:rFonts w:hint="eastAsia" w:ascii="宋体" w:hAnsi="宋体" w:eastAsia="宋体" w:cs="宋体"/>
                <w:highlight w:val="none"/>
                <w:lang w:eastAsia="zh-CN"/>
              </w:rPr>
              <w:t>下列任何一种情况发生时，采购人有权不予退还履约保证金：（一）有明显证据证明中标人未履行本合同约定的；（二）中标人有明显过错致采购人造成损失的；（三）中标人在实施项目过程中出现其它违法违规的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7" w:hRule="atLeast"/>
        </w:trPr>
        <w:tc>
          <w:tcPr>
            <w:tcW w:w="1155" w:type="pct"/>
            <w:vAlign w:val="center"/>
          </w:tcPr>
          <w:p>
            <w:pPr>
              <w:jc w:val="center"/>
              <w:rPr>
                <w:rFonts w:ascii="宋体" w:hAnsi="宋体" w:eastAsia="宋体" w:cs="宋体"/>
                <w:highlight w:val="none"/>
              </w:rPr>
            </w:pPr>
            <w:r>
              <w:rPr>
                <w:rFonts w:hint="eastAsia" w:ascii="宋体" w:hAnsi="宋体" w:eastAsia="宋体" w:cs="宋体"/>
                <w:highlight w:val="none"/>
              </w:rPr>
              <w:t>其他</w:t>
            </w:r>
          </w:p>
        </w:tc>
        <w:tc>
          <w:tcPr>
            <w:tcW w:w="3844" w:type="pct"/>
          </w:tcPr>
          <w:p>
            <w:pPr>
              <w:pStyle w:val="2"/>
              <w:rPr>
                <w:rFonts w:hint="eastAsia" w:ascii="Arial" w:hAnsi="Arial" w:eastAsia="Arial" w:cs="Arial"/>
                <w:b/>
                <w:bCs/>
                <w:snapToGrid w:val="0"/>
                <w:color w:val="000000"/>
                <w:sz w:val="21"/>
                <w:szCs w:val="21"/>
                <w:highlight w:val="none"/>
                <w:lang w:val="en-US" w:eastAsia="zh-CN" w:bidi="ar-SA"/>
              </w:rPr>
            </w:pPr>
            <w:r>
              <w:rPr>
                <w:rFonts w:hint="eastAsia" w:ascii="Arial" w:hAnsi="Arial" w:eastAsia="Arial" w:cs="Arial"/>
                <w:b/>
                <w:bCs/>
                <w:snapToGrid w:val="0"/>
                <w:color w:val="000000"/>
                <w:sz w:val="21"/>
                <w:szCs w:val="21"/>
                <w:highlight w:val="none"/>
                <w:lang w:val="en-US" w:eastAsia="zh-CN" w:bidi="ar-SA"/>
              </w:rPr>
              <w:t>（一）违约责任与赔偿损失 </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1. 中标人提供的服务不符合招标文件、投标文件或本合同规定的，采购人有权拒收，并且中标人须向采购人支付本合同总价10%的违约金。</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2. 中标人未能按本合同规定的时间提供服务，从逾期之日起每日按本合同总价3‰的数额向采购人支付违约金；逾期半个月以上的，采购人有权终止合同，由此造成的采购人经济损失由中标人承担。</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3. 其它违约责任按《中华人民共和国民法典》处理。</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4. 采购人保留对中标人违法违规行为通报给司法部门的权利。</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5. 对本规定未明确的事宜，因中标人违反国家法律法规及司法程序规定进行检验的，由中标人承担法律责任。</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6. 中标人应该在相关法律法规、政府文件指导下提供所有服务及收费，若违背有关规定，采购人有权对已签订合同进行解约。</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7. 除采购人在招标文件中明确外，中标人不得以任何方式转包、分包或挂靠本项目。如发现中标人以转包、分包或挂靠的方式谋取中标，采购人有权解除合同，中标人应向采购人支付合同金额的20%违约金，造成一切损失由中标人承担。</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8. 因中标人在鉴定活动中存在的问题被主管部门通报，暂停鉴定业务的，采购人有权委托第三方机构进行检验鉴定，费用由中标人负责，并且向采购人支付本合同总价20%的违约金。采购人有权将对涉事相关单位或人员移送追究刑事或民事责任及通报司法主管机构。</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9. 中标人因故意或者重大过失出具了虚假或错误的鉴定报告，应视为本合同第十一条第1项“中标人提供的服务不符合招标文件、投标文件或本合同规定”的情形，中标人应承担相应的违约责任。采购人依据中标人虚假或错误的鉴定报告作出的具体司法行政行为有错，侵害当事人合法权益而需要赔偿的，相关赔偿款项由中标人全额支付。</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10. 合同执行过程中发生的任何争议，如双方不能通过友好协商解决，甲、乙双方一致同意向采购人所在地广州市增城区人民法院提起诉讼。</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注：</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1）司法鉴定机构应当严格执行《广东司法鉴定收费项目和收费标准》（痕迹类严格按采购人需求中“痕迹类司法鉴定服务的鉴定基准收费标准”），除向委托人收取司法鉴定费用和按照《司法鉴定委托书》约定的与司法鉴定事项相关的费用外，不得擅自设立收费项目、分解收费项目、提高收费标准收费;不得违背委托人意愿，强制或变相强制提供鉴定服务并收费。严格执行明码标价规定，在显著位置公示司法鉴定项目、收费标准等信息，接受社会监督。</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（2）上述收费标准未列出的项目，参照《广东省发展改革委广东省司法厅关于我省司法鉴定收费政策的通知》（粤发改价格函 【2019】3103 号）等政府规定文件指导收费。涉及重大案件或者复杂疑难、特殊技术问题的司法鉴定事项，其鉴定项目收费标准可在政府指导基准价的基础上上浮不超过40%以内协商确定。重大案件或者复杂疑难、特殊技术问题的司法鉴定事项的认定标准，由省司法厅另行制定。</w:t>
            </w:r>
          </w:p>
          <w:p>
            <w:pPr>
              <w:rPr>
                <w:highlight w:val="none"/>
              </w:rPr>
            </w:pPr>
          </w:p>
        </w:tc>
      </w:tr>
    </w:tbl>
    <w:p>
      <w:pPr>
        <w:spacing w:before="267" w:line="360" w:lineRule="auto"/>
        <w:ind w:firstLine="15"/>
        <w:outlineLvl w:val="2"/>
        <w:rPr>
          <w:rFonts w:ascii="宋体" w:hAnsi="宋体" w:eastAsia="宋体" w:cs="宋体"/>
          <w:highlight w:val="none"/>
        </w:rPr>
      </w:pPr>
      <w:r>
        <w:rPr>
          <w:rFonts w:hint="eastAsia" w:ascii="宋体" w:hAnsi="宋体" w:eastAsia="宋体" w:cs="宋体"/>
          <w:highlight w:val="none"/>
        </w:rPr>
        <w:t>2.技术标准与要求</w:t>
      </w:r>
    </w:p>
    <w:tbl>
      <w:tblPr>
        <w:tblStyle w:val="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9"/>
        <w:gridCol w:w="1060"/>
        <w:gridCol w:w="1498"/>
        <w:gridCol w:w="1859"/>
        <w:gridCol w:w="408"/>
        <w:gridCol w:w="525"/>
        <w:gridCol w:w="1279"/>
        <w:gridCol w:w="1279"/>
        <w:gridCol w:w="773"/>
        <w:gridCol w:w="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96"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序序号</w:t>
            </w:r>
          </w:p>
        </w:tc>
        <w:tc>
          <w:tcPr>
            <w:tcW w:w="41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核心产品（“△”）</w:t>
            </w:r>
          </w:p>
        </w:tc>
        <w:tc>
          <w:tcPr>
            <w:tcW w:w="809"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品目名称</w:t>
            </w:r>
          </w:p>
        </w:tc>
        <w:tc>
          <w:tcPr>
            <w:tcW w:w="1000"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标的名称</w:t>
            </w:r>
          </w:p>
        </w:tc>
        <w:tc>
          <w:tcPr>
            <w:tcW w:w="232"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单位</w:t>
            </w:r>
          </w:p>
        </w:tc>
        <w:tc>
          <w:tcPr>
            <w:tcW w:w="294"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数量</w:t>
            </w:r>
          </w:p>
        </w:tc>
        <w:tc>
          <w:tcPr>
            <w:tcW w:w="693"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分项预算单价</w:t>
            </w:r>
          </w:p>
          <w:p>
            <w:pPr>
              <w:jc w:val="center"/>
              <w:rPr>
                <w:rFonts w:ascii="宋体" w:hAnsi="宋体" w:eastAsia="宋体" w:cs="宋体"/>
                <w:highlight w:val="none"/>
              </w:rPr>
            </w:pPr>
            <w:r>
              <w:rPr>
                <w:rFonts w:hint="eastAsia" w:ascii="宋体" w:hAnsi="宋体" w:eastAsia="宋体" w:cs="宋体"/>
                <w:highlight w:val="none"/>
              </w:rPr>
              <w:t>（元）</w:t>
            </w:r>
          </w:p>
        </w:tc>
        <w:tc>
          <w:tcPr>
            <w:tcW w:w="693"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分项预算总价</w:t>
            </w:r>
          </w:p>
          <w:p>
            <w:pPr>
              <w:jc w:val="center"/>
              <w:rPr>
                <w:rFonts w:ascii="宋体" w:hAnsi="宋体" w:eastAsia="宋体" w:cs="宋体"/>
                <w:highlight w:val="none"/>
              </w:rPr>
            </w:pPr>
            <w:r>
              <w:rPr>
                <w:rFonts w:hint="eastAsia" w:ascii="宋体" w:hAnsi="宋体" w:eastAsia="宋体" w:cs="宋体"/>
                <w:highlight w:val="none"/>
              </w:rPr>
              <w:t>（元）</w:t>
            </w:r>
          </w:p>
        </w:tc>
        <w:tc>
          <w:tcPr>
            <w:tcW w:w="425"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所属行业</w:t>
            </w:r>
          </w:p>
        </w:tc>
        <w:tc>
          <w:tcPr>
            <w:tcW w:w="236"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trPr>
        <w:tc>
          <w:tcPr>
            <w:tcW w:w="196" w:type="pct"/>
            <w:vAlign w:val="center"/>
          </w:tcPr>
          <w:p>
            <w:pPr>
              <w:jc w:val="center"/>
              <w:rPr>
                <w:rFonts w:ascii="宋体" w:hAnsi="宋体" w:eastAsia="宋体" w:cs="宋体"/>
                <w:highlight w:val="none"/>
              </w:rPr>
            </w:pPr>
            <w:r>
              <w:rPr>
                <w:rFonts w:hint="eastAsia" w:ascii="宋体" w:hAnsi="宋体" w:eastAsia="宋体" w:cs="宋体"/>
                <w:highlight w:val="none"/>
              </w:rPr>
              <w:t>1</w:t>
            </w:r>
          </w:p>
        </w:tc>
        <w:tc>
          <w:tcPr>
            <w:tcW w:w="417" w:type="pct"/>
            <w:vAlign w:val="center"/>
          </w:tcPr>
          <w:p>
            <w:pPr>
              <w:jc w:val="center"/>
              <w:rPr>
                <w:rFonts w:ascii="宋体" w:hAnsi="宋体" w:eastAsia="宋体" w:cs="宋体"/>
                <w:highlight w:val="none"/>
              </w:rPr>
            </w:pPr>
          </w:p>
        </w:tc>
        <w:tc>
          <w:tcPr>
            <w:tcW w:w="809"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其他专业技术服务</w:t>
            </w:r>
          </w:p>
        </w:tc>
        <w:tc>
          <w:tcPr>
            <w:tcW w:w="1000" w:type="pct"/>
            <w:vAlign w:val="center"/>
          </w:tcPr>
          <w:p>
            <w:pPr>
              <w:jc w:val="center"/>
              <w:rPr>
                <w:rFonts w:ascii="宋体" w:hAnsi="宋体" w:eastAsia="宋体" w:cs="宋体"/>
                <w:highlight w:val="none"/>
              </w:rPr>
            </w:pPr>
            <w:r>
              <w:rPr>
                <w:rFonts w:hint="eastAsia" w:ascii="宋体" w:hAnsi="宋体" w:eastAsia="宋体" w:cs="宋体"/>
                <w:highlight w:val="none"/>
                <w:lang w:val="en-US" w:eastAsia="zh-CN"/>
              </w:rPr>
              <w:t>法医</w:t>
            </w:r>
            <w:r>
              <w:rPr>
                <w:rFonts w:hint="eastAsia" w:ascii="宋体" w:hAnsi="宋体" w:eastAsia="宋体" w:cs="宋体"/>
                <w:highlight w:val="none"/>
              </w:rPr>
              <w:t>类司法鉴定服务</w:t>
            </w:r>
          </w:p>
        </w:tc>
        <w:tc>
          <w:tcPr>
            <w:tcW w:w="232" w:type="pct"/>
            <w:vAlign w:val="center"/>
          </w:tcPr>
          <w:p>
            <w:pPr>
              <w:jc w:val="center"/>
              <w:rPr>
                <w:rFonts w:ascii="宋体" w:hAnsi="宋体" w:eastAsia="宋体" w:cs="宋体"/>
                <w:highlight w:val="none"/>
              </w:rPr>
            </w:pPr>
            <w:r>
              <w:rPr>
                <w:rFonts w:hint="eastAsia" w:ascii="宋体" w:hAnsi="宋体" w:eastAsia="宋体" w:cs="宋体"/>
                <w:highlight w:val="none"/>
              </w:rPr>
              <w:t>项</w:t>
            </w:r>
          </w:p>
        </w:tc>
        <w:tc>
          <w:tcPr>
            <w:tcW w:w="294" w:type="pct"/>
            <w:vAlign w:val="center"/>
          </w:tcPr>
          <w:p>
            <w:pPr>
              <w:jc w:val="center"/>
              <w:rPr>
                <w:rFonts w:ascii="宋体" w:hAnsi="宋体" w:eastAsia="宋体" w:cs="宋体"/>
                <w:highlight w:val="none"/>
              </w:rPr>
            </w:pPr>
            <w:r>
              <w:rPr>
                <w:rFonts w:hint="eastAsia" w:ascii="宋体" w:hAnsi="宋体" w:eastAsia="宋体" w:cs="宋体"/>
                <w:highlight w:val="none"/>
              </w:rPr>
              <w:t>1.00</w:t>
            </w:r>
          </w:p>
        </w:tc>
        <w:tc>
          <w:tcPr>
            <w:tcW w:w="693"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3，800，000.00</w:t>
            </w:r>
          </w:p>
        </w:tc>
        <w:tc>
          <w:tcPr>
            <w:tcW w:w="693" w:type="pct"/>
            <w:vAlign w:val="center"/>
          </w:tcPr>
          <w:p>
            <w:pPr>
              <w:jc w:val="center"/>
              <w:rPr>
                <w:rFonts w:ascii="宋体" w:hAnsi="宋体" w:eastAsia="宋体" w:cs="宋体"/>
                <w:highlight w:val="none"/>
              </w:rPr>
            </w:pPr>
            <w:r>
              <w:rPr>
                <w:rFonts w:hint="eastAsia" w:ascii="宋体" w:hAnsi="宋体" w:eastAsia="宋体" w:cs="宋体"/>
                <w:highlight w:val="none"/>
                <w:lang w:val="en-US" w:eastAsia="zh-CN"/>
              </w:rPr>
              <w:t>3，800，000.00</w:t>
            </w:r>
          </w:p>
        </w:tc>
        <w:tc>
          <w:tcPr>
            <w:tcW w:w="425" w:type="pct"/>
            <w:vAlign w:val="center"/>
          </w:tcPr>
          <w:p>
            <w:pPr>
              <w:jc w:val="center"/>
              <w:rPr>
                <w:rFonts w:ascii="宋体" w:hAnsi="宋体" w:eastAsia="宋体" w:cs="宋体"/>
                <w:highlight w:val="none"/>
              </w:rPr>
            </w:pPr>
          </w:p>
        </w:tc>
        <w:tc>
          <w:tcPr>
            <w:tcW w:w="236" w:type="pct"/>
            <w:vAlign w:val="center"/>
          </w:tcPr>
          <w:p>
            <w:pPr>
              <w:jc w:val="center"/>
              <w:rPr>
                <w:rFonts w:ascii="宋体" w:hAnsi="宋体" w:eastAsia="宋体" w:cs="宋体"/>
                <w:highlight w:val="none"/>
              </w:rPr>
            </w:pPr>
            <w:r>
              <w:rPr>
                <w:rFonts w:hint="eastAsia" w:ascii="宋体" w:hAnsi="宋体" w:eastAsia="宋体" w:cs="宋体"/>
                <w:highlight w:val="none"/>
              </w:rPr>
              <w:t>详见附表一</w:t>
            </w:r>
          </w:p>
        </w:tc>
      </w:tr>
    </w:tbl>
    <w:p>
      <w:pPr>
        <w:spacing w:before="147" w:line="360" w:lineRule="auto"/>
        <w:ind w:firstLine="391"/>
        <w:rPr>
          <w:highlight w:val="none"/>
        </w:rPr>
      </w:pPr>
      <w:r>
        <w:rPr>
          <w:rFonts w:hint="eastAsia" w:ascii="宋体" w:hAnsi="宋体" w:eastAsia="宋体" w:cs="宋体"/>
          <w:spacing w:val="-1"/>
          <w:highlight w:val="none"/>
        </w:rPr>
        <w:t>注：若存在多项核心产品，当不同供应商提供的任意一项核心产品的品牌相同，则视同其是所响应核心产品品牌相同供应</w:t>
      </w:r>
      <w:r>
        <w:rPr>
          <w:rFonts w:hint="eastAsia" w:ascii="宋体" w:hAnsi="宋体" w:eastAsia="宋体" w:cs="宋体"/>
          <w:spacing w:val="-5"/>
          <w:highlight w:val="none"/>
        </w:rPr>
        <w:t>商。</w:t>
      </w:r>
    </w:p>
    <w:p>
      <w:pPr>
        <w:spacing w:before="312" w:line="360" w:lineRule="auto"/>
        <w:ind w:firstLine="16"/>
        <w:rPr>
          <w:rFonts w:ascii="宋体" w:hAnsi="宋体" w:eastAsia="宋体" w:cs="宋体"/>
          <w:b/>
          <w:bCs/>
          <w:highlight w:val="none"/>
        </w:rPr>
      </w:pPr>
      <w:r>
        <w:rPr>
          <w:rFonts w:hint="eastAsia" w:ascii="宋体" w:hAnsi="宋体" w:eastAsia="宋体" w:cs="宋体"/>
          <w:spacing w:val="12"/>
          <w:highlight w:val="none"/>
        </w:rPr>
        <w:t>附表一：</w:t>
      </w:r>
      <w:r>
        <w:rPr>
          <w:rFonts w:hint="eastAsia" w:ascii="宋体" w:hAnsi="宋体" w:eastAsia="宋体" w:cs="宋体"/>
          <w:b/>
          <w:bCs/>
          <w:spacing w:val="-1"/>
          <w:highlight w:val="none"/>
        </w:rPr>
        <w:t>（</w:t>
      </w:r>
      <w:r>
        <w:rPr>
          <w:rFonts w:hint="eastAsia" w:ascii="宋体" w:hAnsi="宋体" w:eastAsia="宋体" w:cs="宋体"/>
          <w:b/>
          <w:bCs/>
          <w:snapToGrid w:val="0"/>
          <w:color w:val="000000"/>
          <w:spacing w:val="0"/>
          <w:sz w:val="21"/>
          <w:szCs w:val="21"/>
          <w:highlight w:val="none"/>
          <w:lang w:val="en-US" w:eastAsia="zh-CN" w:bidi="ar-SA"/>
        </w:rPr>
        <w:t>法医类司法鉴定服务</w:t>
      </w:r>
      <w:r>
        <w:rPr>
          <w:rFonts w:hint="eastAsia" w:ascii="宋体" w:hAnsi="宋体" w:eastAsia="宋体" w:cs="宋体"/>
          <w:b/>
          <w:bCs/>
          <w:spacing w:val="-1"/>
          <w:highlight w:val="none"/>
        </w:rPr>
        <w:t>）</w:t>
      </w:r>
    </w:p>
    <w:tbl>
      <w:tblPr>
        <w:tblStyle w:val="6"/>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67"/>
        <w:gridCol w:w="473"/>
        <w:gridCol w:w="6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251"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参数性质</w:t>
            </w:r>
          </w:p>
        </w:tc>
        <w:tc>
          <w:tcPr>
            <w:tcW w:w="249"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序号</w:t>
            </w:r>
          </w:p>
        </w:tc>
        <w:tc>
          <w:tcPr>
            <w:tcW w:w="3498"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1" w:type="pct"/>
            <w:vAlign w:val="center"/>
          </w:tcPr>
          <w:p>
            <w:pPr>
              <w:spacing w:line="360" w:lineRule="auto"/>
              <w:jc w:val="center"/>
              <w:rPr>
                <w:rFonts w:ascii="宋体" w:hAnsi="宋体" w:eastAsia="宋体" w:cs="宋体"/>
                <w:highlight w:val="none"/>
              </w:rPr>
            </w:pPr>
            <w:r>
              <w:rPr>
                <w:rFonts w:hint="eastAsia"/>
                <w:highlight w:val="none"/>
                <w:lang w:eastAsia="zh-CN"/>
              </w:rPr>
              <w:t>★</w:t>
            </w:r>
          </w:p>
        </w:tc>
        <w:tc>
          <w:tcPr>
            <w:tcW w:w="249" w:type="pct"/>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1</w:t>
            </w:r>
          </w:p>
        </w:tc>
        <w:tc>
          <w:tcPr>
            <w:tcW w:w="3498" w:type="pct"/>
          </w:tcPr>
          <w:p>
            <w:pPr>
              <w:rPr>
                <w:rFonts w:hint="eastAsia"/>
                <w:highlight w:val="none"/>
                <w:lang w:eastAsia="zh-CN"/>
              </w:rPr>
            </w:pPr>
            <w:r>
              <w:rPr>
                <w:rFonts w:hint="eastAsia"/>
                <w:highlight w:val="none"/>
                <w:lang w:eastAsia="zh-CN"/>
              </w:rPr>
              <w:t>★中标人应按采购人委托的服务项目进行检验，并出具司定鉴定报告（报告达到公安机关、检察院和法院的证据要求），中标人对报告负责。</w:t>
            </w:r>
          </w:p>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1" w:type="pct"/>
            <w:vAlign w:val="center"/>
          </w:tcPr>
          <w:p>
            <w:pPr>
              <w:spacing w:line="360" w:lineRule="auto"/>
              <w:jc w:val="center"/>
              <w:rPr>
                <w:rFonts w:hint="eastAsia"/>
                <w:highlight w:val="none"/>
                <w:lang w:eastAsia="zh-CN"/>
              </w:rPr>
            </w:pPr>
            <w:r>
              <w:rPr>
                <w:rFonts w:hint="eastAsia"/>
                <w:highlight w:val="none"/>
                <w:lang w:eastAsia="zh-CN"/>
              </w:rPr>
              <w:t>★</w:t>
            </w:r>
          </w:p>
        </w:tc>
        <w:tc>
          <w:tcPr>
            <w:tcW w:w="249" w:type="pct"/>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3498" w:type="pct"/>
          </w:tcPr>
          <w:p>
            <w:pPr>
              <w:rPr>
                <w:rFonts w:hint="eastAsia"/>
                <w:highlight w:val="none"/>
                <w:lang w:eastAsia="zh-CN"/>
              </w:rPr>
            </w:pPr>
            <w:r>
              <w:rPr>
                <w:rFonts w:hint="eastAsia"/>
                <w:b/>
                <w:bCs/>
                <w:highlight w:val="none"/>
                <w:lang w:eastAsia="zh-CN"/>
              </w:rPr>
              <w:t>（</w:t>
            </w:r>
            <w:r>
              <w:rPr>
                <w:rFonts w:hint="eastAsia"/>
                <w:b/>
                <w:bCs/>
                <w:highlight w:val="none"/>
                <w:lang w:val="en-US" w:eastAsia="zh-CN"/>
              </w:rPr>
              <w:t>一</w:t>
            </w:r>
            <w:r>
              <w:rPr>
                <w:rFonts w:hint="eastAsia"/>
                <w:b/>
                <w:bCs/>
                <w:highlight w:val="none"/>
                <w:lang w:eastAsia="zh-CN"/>
              </w:rPr>
              <w:t>）鉴定收费及报价</w:t>
            </w:r>
            <w:r>
              <w:rPr>
                <w:rFonts w:hint="eastAsia"/>
                <w:highlight w:val="none"/>
                <w:lang w:eastAsia="zh-CN"/>
              </w:rPr>
              <w:t> </w:t>
            </w:r>
          </w:p>
          <w:p>
            <w:pPr>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鉴定基准收费标准 </w:t>
            </w:r>
          </w:p>
          <w:p>
            <w:pPr>
              <w:rPr>
                <w:rFonts w:hint="eastAsia"/>
                <w:highlight w:val="none"/>
                <w:lang w:eastAsia="zh-CN"/>
              </w:rPr>
            </w:pPr>
            <w:r>
              <w:rPr>
                <w:rFonts w:hint="eastAsia"/>
                <w:highlight w:val="none"/>
                <w:lang w:eastAsia="zh-CN"/>
              </w:rPr>
              <w:t>鉴定服务项目收费按照《广东省发展改革委广东省司法厅关于我省司法鉴定收费政策的通知》（粤发改价格函【2019】3103 号）列明的类别、收费项目、基准价和有关通知精神执行，如遇相关部门对收费标准有新的规定或调整，从其规定。</w:t>
            </w:r>
          </w:p>
          <w:p>
            <w:pPr>
              <w:rPr>
                <w:highlight w:val="none"/>
              </w:rPr>
            </w:pPr>
            <w:r>
              <w:rPr>
                <w:rFonts w:hint="eastAsia"/>
                <w:highlight w:val="none"/>
                <w:lang w:eastAsia="zh-CN"/>
              </w:rPr>
              <w:t>如粤发改价格函【2019】3103号通知未列明的，结合采购人具体需求，按市场调节价格，由采购人和中标人商定。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1" w:type="pct"/>
            <w:vAlign w:val="center"/>
          </w:tcPr>
          <w:p>
            <w:pPr>
              <w:spacing w:line="360" w:lineRule="auto"/>
              <w:jc w:val="center"/>
              <w:rPr>
                <w:rFonts w:hint="eastAsia"/>
                <w:highlight w:val="none"/>
                <w:lang w:eastAsia="zh-CN"/>
              </w:rPr>
            </w:pPr>
            <w:r>
              <w:rPr>
                <w:rFonts w:hint="eastAsia"/>
                <w:highlight w:val="none"/>
                <w:lang w:eastAsia="zh-CN"/>
              </w:rPr>
              <w:t>★</w:t>
            </w:r>
          </w:p>
        </w:tc>
        <w:tc>
          <w:tcPr>
            <w:tcW w:w="249" w:type="pct"/>
            <w:vAlign w:val="center"/>
          </w:tcPr>
          <w:p>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3498" w:type="pct"/>
          </w:tcPr>
          <w:p>
            <w:pPr>
              <w:rPr>
                <w:rFonts w:hint="eastAsia"/>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报价要求 </w:t>
            </w:r>
          </w:p>
          <w:p>
            <w:pPr>
              <w:rPr>
                <w:rFonts w:hint="eastAsia"/>
                <w:highlight w:val="none"/>
                <w:lang w:eastAsia="zh-CN"/>
              </w:rPr>
            </w:pPr>
            <w:r>
              <w:rPr>
                <w:rFonts w:hint="eastAsia"/>
                <w:highlight w:val="none"/>
                <w:lang w:eastAsia="zh-CN"/>
              </w:rPr>
              <w:t>计价（结算）方式:检验费=实际完成数量</w:t>
            </w:r>
            <w:r>
              <w:rPr>
                <w:rFonts w:hint="eastAsia"/>
                <w:highlight w:val="none"/>
                <w:lang w:val="en-US" w:eastAsia="zh-CN"/>
              </w:rPr>
              <w:t>X</w:t>
            </w:r>
            <w:r>
              <w:rPr>
                <w:rFonts w:hint="eastAsia"/>
                <w:highlight w:val="none"/>
                <w:lang w:eastAsia="zh-CN"/>
              </w:rPr>
              <w:t>实际完成鉴定项目内容鉴定收费基准价</w:t>
            </w:r>
            <w:r>
              <w:rPr>
                <w:rFonts w:hint="eastAsia"/>
                <w:highlight w:val="none"/>
                <w:lang w:val="en-US" w:eastAsia="zh-CN"/>
              </w:rPr>
              <w:t>X</w:t>
            </w:r>
            <w:r>
              <w:rPr>
                <w:rFonts w:hint="eastAsia"/>
                <w:highlight w:val="none"/>
                <w:lang w:eastAsia="zh-CN"/>
              </w:rPr>
              <w:t>（1一投标下浮率）。</w:t>
            </w:r>
          </w:p>
          <w:p>
            <w:pPr>
              <w:rPr>
                <w:rFonts w:hint="eastAsia"/>
                <w:highlight w:val="none"/>
                <w:lang w:eastAsia="zh-CN"/>
              </w:rPr>
            </w:pPr>
            <w:r>
              <w:rPr>
                <w:rFonts w:hint="eastAsia"/>
                <w:highlight w:val="none"/>
                <w:lang w:eastAsia="zh-CN"/>
              </w:rPr>
              <w:t>投标报价:投标下浮率≤100%，且不得为负数,该下浮率必须为固定报价（如 20%），不得存在区间值（如20%</w:t>
            </w:r>
            <w:r>
              <w:rPr>
                <w:rFonts w:hint="eastAsia"/>
                <w:highlight w:val="none"/>
                <w:lang w:val="en-US" w:eastAsia="zh-CN"/>
              </w:rPr>
              <w:t>-</w:t>
            </w:r>
            <w:r>
              <w:rPr>
                <w:rFonts w:hint="eastAsia"/>
                <w:highlight w:val="none"/>
                <w:lang w:eastAsia="zh-CN"/>
              </w:rPr>
              <w:t>25%），否则将被视为非实质性响应招标文件，按无效投标处理。 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1" w:type="pct"/>
            <w:vAlign w:val="center"/>
          </w:tcPr>
          <w:p>
            <w:pPr>
              <w:spacing w:line="360" w:lineRule="auto"/>
              <w:jc w:val="center"/>
              <w:rPr>
                <w:rFonts w:hint="eastAsia"/>
                <w:highlight w:val="none"/>
                <w:lang w:eastAsia="zh-CN"/>
              </w:rPr>
            </w:pPr>
          </w:p>
        </w:tc>
        <w:tc>
          <w:tcPr>
            <w:tcW w:w="249" w:type="pct"/>
            <w:vAlign w:val="center"/>
          </w:tcPr>
          <w:p>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3498" w:type="pct"/>
          </w:tcPr>
          <w:p>
            <w:pPr>
              <w:rPr>
                <w:rFonts w:hint="eastAsia"/>
                <w:highlight w:val="none"/>
                <w:lang w:eastAsia="zh-CN"/>
              </w:rPr>
            </w:pPr>
            <w:r>
              <w:rPr>
                <w:rFonts w:hint="eastAsia"/>
                <w:highlight w:val="none"/>
                <w:lang w:val="en-US" w:eastAsia="zh-CN"/>
              </w:rPr>
              <w:t>1.</w:t>
            </w:r>
            <w:r>
              <w:rPr>
                <w:rFonts w:hint="eastAsia"/>
                <w:highlight w:val="none"/>
                <w:lang w:eastAsia="zh-CN"/>
              </w:rPr>
              <w:t>除采购人在招标文件中明确外，中标人不得以任何方式转包、分包或挂靠本项目。如发现中标人以转包、分包或挂靠的方式谋取中标，采购人有权解除合同、要求赔偿。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1" w:type="pct"/>
            <w:vAlign w:val="center"/>
          </w:tcPr>
          <w:p>
            <w:pPr>
              <w:spacing w:line="360" w:lineRule="auto"/>
              <w:jc w:val="center"/>
              <w:rPr>
                <w:rFonts w:hint="eastAsia"/>
                <w:highlight w:val="none"/>
                <w:lang w:eastAsia="zh-CN"/>
              </w:rPr>
            </w:pPr>
            <w:r>
              <w:rPr>
                <w:rFonts w:hint="eastAsia"/>
                <w:highlight w:val="none"/>
                <w:lang w:eastAsia="zh-CN"/>
              </w:rPr>
              <w:t>▲</w:t>
            </w:r>
          </w:p>
        </w:tc>
        <w:tc>
          <w:tcPr>
            <w:tcW w:w="249" w:type="pct"/>
            <w:vAlign w:val="center"/>
          </w:tcPr>
          <w:p>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3498" w:type="pct"/>
          </w:tcPr>
          <w:p>
            <w:pPr>
              <w:rPr>
                <w:rFonts w:hint="eastAsia"/>
                <w:highlight w:val="none"/>
                <w:lang w:val="en-US" w:eastAsia="zh-CN"/>
              </w:rPr>
            </w:pPr>
            <w:r>
              <w:rPr>
                <w:rFonts w:hint="eastAsia"/>
                <w:highlight w:val="none"/>
                <w:lang w:eastAsia="zh-CN"/>
              </w:rPr>
              <w:t>▲2.中标人须组成包含所投项目鉴定业务范围持有司法鉴定资格证的鉴定人员的检验专班。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1" w:type="pct"/>
            <w:vAlign w:val="center"/>
          </w:tcPr>
          <w:p>
            <w:pPr>
              <w:spacing w:line="360" w:lineRule="auto"/>
              <w:jc w:val="center"/>
              <w:rPr>
                <w:rFonts w:hint="eastAsia"/>
                <w:highlight w:val="none"/>
                <w:lang w:eastAsia="zh-CN"/>
              </w:rPr>
            </w:pPr>
            <w:r>
              <w:rPr>
                <w:rFonts w:hint="eastAsia"/>
                <w:highlight w:val="none"/>
                <w:lang w:eastAsia="zh-CN"/>
              </w:rPr>
              <w:t>▲</w:t>
            </w:r>
          </w:p>
        </w:tc>
        <w:tc>
          <w:tcPr>
            <w:tcW w:w="249" w:type="pct"/>
            <w:vAlign w:val="center"/>
          </w:tcPr>
          <w:p>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3498" w:type="pct"/>
          </w:tcPr>
          <w:p>
            <w:pPr>
              <w:rPr>
                <w:rFonts w:hint="eastAsia"/>
                <w:highlight w:val="none"/>
                <w:lang w:val="en-US" w:eastAsia="zh-CN"/>
              </w:rPr>
            </w:pPr>
            <w:r>
              <w:rPr>
                <w:rFonts w:hint="eastAsia"/>
                <w:highlight w:val="none"/>
                <w:lang w:eastAsia="zh-CN"/>
              </w:rPr>
              <w:t>▲3.中标人提供每日24小时无缝隙服务，保证电话有人接、检材有人收，检测有人做，结果有人核，报告有人发。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1" w:type="pct"/>
            <w:vAlign w:val="center"/>
          </w:tcPr>
          <w:p>
            <w:pPr>
              <w:spacing w:line="360" w:lineRule="auto"/>
              <w:jc w:val="center"/>
              <w:rPr>
                <w:rFonts w:hint="eastAsia"/>
                <w:highlight w:val="none"/>
                <w:lang w:eastAsia="zh-CN"/>
              </w:rPr>
            </w:pPr>
            <w:r>
              <w:rPr>
                <w:rFonts w:hint="eastAsia"/>
                <w:highlight w:val="none"/>
                <w:lang w:eastAsia="zh-CN"/>
              </w:rPr>
              <w:t>★</w:t>
            </w:r>
          </w:p>
        </w:tc>
        <w:tc>
          <w:tcPr>
            <w:tcW w:w="249" w:type="pct"/>
            <w:vAlign w:val="center"/>
          </w:tcPr>
          <w:p>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3498" w:type="pct"/>
          </w:tcPr>
          <w:p>
            <w:pPr>
              <w:rPr>
                <w:rFonts w:hint="eastAsia"/>
                <w:highlight w:val="none"/>
                <w:lang w:val="en-US" w:eastAsia="zh-CN"/>
              </w:rPr>
            </w:pPr>
            <w:r>
              <w:rPr>
                <w:rFonts w:hint="eastAsia"/>
                <w:highlight w:val="none"/>
                <w:lang w:eastAsia="zh-CN"/>
              </w:rPr>
              <w:t>★4.一般情况下，在接到采购人的委托书后，中标人应按委托要求的进行检验，在 20 个自然日内制作完成检验报告并送达采购人，特殊情况下需经采购人同意可延长至30个自然日。因办理案件需要，有特殊时间要求的，须根据案件办理程序和采购人实际需求，由中标人严格按照鉴定程序并按约定时间按质量制作完成检验报告并送达采购人。委托受理后，因无正当理由未在规定时间内出具司法鉴定报告，或报告未能反映案件真实情况，采购人有权拒绝支付司法鉴定费用。并且，采购人有权委托其他鉴定机构进行鉴定，因此产生的费用由中标人负责，造成的相关法律后果也由中标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1" w:type="pct"/>
            <w:vAlign w:val="center"/>
          </w:tcPr>
          <w:p>
            <w:pPr>
              <w:spacing w:line="360" w:lineRule="auto"/>
              <w:jc w:val="center"/>
              <w:rPr>
                <w:rFonts w:hint="eastAsia"/>
                <w:highlight w:val="none"/>
                <w:lang w:eastAsia="zh-CN"/>
              </w:rPr>
            </w:pPr>
            <w:r>
              <w:rPr>
                <w:rFonts w:hint="eastAsia"/>
                <w:highlight w:val="none"/>
                <w:lang w:eastAsia="zh-CN"/>
              </w:rPr>
              <w:t>▲</w:t>
            </w:r>
          </w:p>
        </w:tc>
        <w:tc>
          <w:tcPr>
            <w:tcW w:w="249" w:type="pct"/>
            <w:vAlign w:val="center"/>
          </w:tcPr>
          <w:p>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8</w:t>
            </w:r>
          </w:p>
        </w:tc>
        <w:tc>
          <w:tcPr>
            <w:tcW w:w="3498" w:type="pct"/>
          </w:tcPr>
          <w:p>
            <w:pPr>
              <w:rPr>
                <w:rFonts w:hint="eastAsia"/>
                <w:highlight w:val="none"/>
                <w:lang w:val="en-US" w:eastAsia="zh-CN"/>
              </w:rPr>
            </w:pPr>
            <w:r>
              <w:rPr>
                <w:rFonts w:hint="eastAsia"/>
                <w:highlight w:val="none"/>
                <w:lang w:eastAsia="zh-CN"/>
              </w:rPr>
              <w:t>▲5.中标人对血液中乙醇舍量检测的,须在收到采购人单位提交的检材后3小时内出具检验鉴定报告（传真扫描件)，中标人委派人员接收检材或采购人提交检查签收后，即视为检材已提交。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1" w:type="pct"/>
            <w:vAlign w:val="center"/>
          </w:tcPr>
          <w:p>
            <w:pPr>
              <w:spacing w:line="360" w:lineRule="auto"/>
              <w:jc w:val="center"/>
              <w:rPr>
                <w:rFonts w:hint="eastAsia"/>
                <w:highlight w:val="none"/>
                <w:lang w:eastAsia="zh-CN"/>
              </w:rPr>
            </w:pPr>
            <w:r>
              <w:rPr>
                <w:rFonts w:hint="eastAsia"/>
                <w:highlight w:val="none"/>
                <w:lang w:eastAsia="zh-CN"/>
              </w:rPr>
              <w:t>★</w:t>
            </w:r>
          </w:p>
        </w:tc>
        <w:tc>
          <w:tcPr>
            <w:tcW w:w="249" w:type="pct"/>
            <w:vAlign w:val="center"/>
          </w:tcPr>
          <w:p>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3498" w:type="pct"/>
          </w:tcPr>
          <w:p>
            <w:pPr>
              <w:rPr>
                <w:rFonts w:hint="eastAsia"/>
                <w:highlight w:val="none"/>
                <w:lang w:eastAsia="zh-CN"/>
              </w:rPr>
            </w:pPr>
            <w:r>
              <w:rPr>
                <w:rFonts w:hint="eastAsia"/>
                <w:highlight w:val="none"/>
                <w:lang w:val="en-US" w:eastAsia="zh-CN"/>
              </w:rPr>
              <w:t>13.</w:t>
            </w:r>
            <w:r>
              <w:rPr>
                <w:rFonts w:hint="eastAsia"/>
                <w:highlight w:val="none"/>
                <w:lang w:eastAsia="zh-CN"/>
              </w:rPr>
              <w:t>中标人的派驻人员接到采购人单位通知和检验鉴定委托后（尸检、伤检），中标人自行前往，按规范完成相关检验鉴定项目且全程进行拍照、录音录像，对民警提取的检验样本同样按要求进行 </w:t>
            </w:r>
          </w:p>
          <w:p>
            <w:pPr>
              <w:rPr>
                <w:rFonts w:hint="eastAsia"/>
                <w:highlight w:val="none"/>
                <w:lang w:eastAsia="zh-CN"/>
              </w:rPr>
            </w:pPr>
            <w:r>
              <w:rPr>
                <w:rFonts w:hint="eastAsia"/>
                <w:highlight w:val="none"/>
                <w:lang w:eastAsia="zh-CN"/>
              </w:rPr>
              <w:t>★</w:t>
            </w:r>
            <w:r>
              <w:rPr>
                <w:rFonts w:hint="eastAsia"/>
                <w:highlight w:val="none"/>
                <w:lang w:val="en-US" w:eastAsia="zh-CN"/>
              </w:rPr>
              <w:t>14.</w:t>
            </w:r>
            <w:r>
              <w:rPr>
                <w:rFonts w:hint="eastAsia"/>
                <w:highlight w:val="none"/>
                <w:lang w:eastAsia="zh-CN"/>
              </w:rPr>
              <w:t>中标人对血液检材须保管不少于1年（如采购人只持有I瓶血液检材，须保管2年），中标人要妥善保存所有的检测档案，保存期限为不少于5年，病理切片保存期为2年，其他检材按有关规定保存，随时接受采购人的检查，并且鉴定相关内容不得泄露给任何第三方，所有检材、档案必须征得采购人同意才可销毁</w:t>
            </w:r>
            <w:r>
              <w:rPr>
                <w:rFonts w:hint="eastAsia"/>
                <w:b/>
                <w:bCs/>
                <w:highlight w:val="none"/>
                <w:lang w:eastAsia="zh-CN"/>
              </w:rPr>
              <w:t>（</w:t>
            </w:r>
            <w:r>
              <w:rPr>
                <w:rFonts w:hint="eastAsia"/>
                <w:b/>
                <w:bCs/>
                <w:highlight w:val="none"/>
                <w:lang w:val="en-US" w:eastAsia="zh-CN"/>
              </w:rPr>
              <w:t>须在投标文件中提供承诺函</w:t>
            </w:r>
            <w:r>
              <w:rPr>
                <w:rFonts w:hint="eastAsia"/>
                <w:b/>
                <w:bCs/>
                <w:highlight w:val="none"/>
                <w:lang w:eastAsia="zh-CN"/>
              </w:rPr>
              <w:t>）</w:t>
            </w:r>
            <w:r>
              <w:rPr>
                <w:rFonts w:hint="eastAsia"/>
                <w:highlight w:val="none"/>
                <w:lang w:eastAsia="zh-CN"/>
              </w:rPr>
              <w:t>。中标人要严格按照规定妥保管检材，保管要求不因合同服务期限的终止等任何原因而终止，无论下一年限中标人是否继续中标，都要履行自接收检材之日起保管1年以上的服务，如采购人要求，必须配合好检材的继续保管或在采购人主动提出的前提下交接至新中标人，上述保管事宜不收取相关费用。</w:t>
            </w:r>
          </w:p>
          <w:p>
            <w:pPr>
              <w:rPr>
                <w:rFonts w:hint="eastAsia"/>
                <w:highlight w:val="none"/>
                <w:lang w:val="en-US" w:eastAsia="zh-CN"/>
              </w:rPr>
            </w:pPr>
            <w:r>
              <w:rPr>
                <w:rFonts w:hint="eastAsia"/>
                <w:highlight w:val="none"/>
                <w:lang w:val="en-US" w:eastAsia="zh-CN"/>
              </w:rPr>
              <w:t>15.</w:t>
            </w:r>
            <w:r>
              <w:rPr>
                <w:rFonts w:hint="eastAsia"/>
                <w:highlight w:val="none"/>
                <w:lang w:eastAsia="zh-CN"/>
              </w:rPr>
              <w:t>中标人协助提取检材样本的人员，须对该鉴定回避</w:t>
            </w:r>
            <w:r>
              <w:rPr>
                <w:rFonts w:hint="eastAsia"/>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1" w:type="pct"/>
            <w:vAlign w:val="center"/>
          </w:tcPr>
          <w:p>
            <w:pPr>
              <w:spacing w:line="360" w:lineRule="auto"/>
              <w:jc w:val="center"/>
              <w:rPr>
                <w:rFonts w:hint="eastAsia"/>
                <w:highlight w:val="none"/>
                <w:lang w:eastAsia="zh-CN"/>
              </w:rPr>
            </w:pPr>
            <w:r>
              <w:rPr>
                <w:rFonts w:hint="eastAsia"/>
                <w:highlight w:val="none"/>
                <w:lang w:eastAsia="zh-CN"/>
              </w:rPr>
              <w:t>★</w:t>
            </w:r>
          </w:p>
        </w:tc>
        <w:tc>
          <w:tcPr>
            <w:tcW w:w="249" w:type="pct"/>
            <w:vAlign w:val="center"/>
          </w:tcPr>
          <w:p>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3498" w:type="pct"/>
          </w:tcPr>
          <w:p>
            <w:pPr>
              <w:rPr>
                <w:rFonts w:hint="eastAsia"/>
                <w:highlight w:val="none"/>
                <w:lang w:val="en-US" w:eastAsia="zh-CN"/>
              </w:rPr>
            </w:pPr>
            <w:r>
              <w:rPr>
                <w:rFonts w:hint="eastAsia"/>
                <w:highlight w:val="none"/>
                <w:lang w:eastAsia="zh-CN"/>
              </w:rPr>
              <w:t>★16、中标人必须全程严格按照国家有关法法规及采购人关于保密等的要求提供服务</w:t>
            </w:r>
            <w:r>
              <w:rPr>
                <w:rFonts w:hint="eastAsia"/>
                <w:highlight w:val="none"/>
                <w:lang w:val="en-US" w:eastAsia="zh-CN"/>
              </w:rPr>
              <w:t>,</w:t>
            </w:r>
            <w:r>
              <w:rPr>
                <w:rFonts w:hint="eastAsia"/>
                <w:highlight w:val="none"/>
                <w:lang w:eastAsia="zh-CN"/>
              </w:rPr>
              <w:t>对于管理不当、弄虚作假、徇私舞弊等造成服务项目泄密或造成其他负面影响负法律责任，采购人有权不退还中标人的履约保函，并中标人就造成采购人的损失另行赔偿，赔偿金额不超过合同总价的20%，并采购人可单方解除合同，同时保留追究中标人及其服务人员法律责任的权利。（提供承诺函，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1" w:type="pct"/>
            <w:vAlign w:val="center"/>
          </w:tcPr>
          <w:p>
            <w:pPr>
              <w:spacing w:line="360" w:lineRule="auto"/>
              <w:jc w:val="center"/>
              <w:rPr>
                <w:rFonts w:hint="eastAsia"/>
                <w:highlight w:val="none"/>
                <w:lang w:eastAsia="zh-CN"/>
              </w:rPr>
            </w:pPr>
          </w:p>
        </w:tc>
        <w:tc>
          <w:tcPr>
            <w:tcW w:w="249" w:type="pct"/>
            <w:vAlign w:val="center"/>
          </w:tcPr>
          <w:p>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11</w:t>
            </w:r>
          </w:p>
        </w:tc>
        <w:tc>
          <w:tcPr>
            <w:tcW w:w="3498" w:type="pct"/>
          </w:tcPr>
          <w:p>
            <w:pPr>
              <w:rPr>
                <w:rFonts w:hint="eastAsia"/>
                <w:highlight w:val="none"/>
                <w:lang w:val="en-US" w:eastAsia="zh-CN"/>
              </w:rPr>
            </w:pPr>
            <w:r>
              <w:rPr>
                <w:rFonts w:hint="eastAsia"/>
                <w:highlight w:val="none"/>
                <w:lang w:val="en-US" w:eastAsia="zh-CN"/>
              </w:rPr>
              <w:t>17、采购方因使用中标方出具的鉴定报告产生行政复议、行政诉讼或国家赔偿，中标方有关人员和经办事项人员应全程配合采购方工作并参与有关司法程序。根据《中华人民共和国刑事诉讼法》的规定，人民法院认为鉴定人有必要出庭作证的，鉴定人应根据法院出庭作证的通知，出庭作证，且采购人不承担出庭质证产生的所有费用。</w:t>
            </w:r>
            <w:r>
              <w:rPr>
                <w:rFonts w:hint="eastAsia"/>
                <w:highlight w:val="none"/>
                <w:lang w:eastAsia="zh-CN"/>
              </w:rPr>
              <w:t>（提供承诺函，格式自拟）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01" w:type="pct"/>
            <w:gridSpan w:val="2"/>
            <w:vAlign w:val="center"/>
          </w:tcPr>
          <w:p>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说明</w:t>
            </w:r>
          </w:p>
        </w:tc>
        <w:tc>
          <w:tcPr>
            <w:tcW w:w="3498" w:type="pct"/>
          </w:tcPr>
          <w:p>
            <w:pPr>
              <w:rPr>
                <w:rFonts w:hint="eastAsia"/>
                <w:highlight w:val="none"/>
                <w:lang w:val="en-US" w:eastAsia="zh-CN"/>
              </w:rPr>
            </w:pPr>
            <w:r>
              <w:rPr>
                <w:rFonts w:hint="eastAsia" w:ascii="宋体" w:hAnsi="宋体" w:eastAsia="宋体" w:cs="宋体"/>
                <w:highlight w:val="none"/>
              </w:rPr>
              <w:t>打“★”号条款为实质性条款，若有任何一条负偏离或不满足则导致投标（响应）无效。打“▲”号条款为重要技术参数（如有），若有部分“▲”条款未响应或不满足，将根据评审要求影响其得分，但不作为无效投标（响应）条款。</w:t>
            </w:r>
          </w:p>
        </w:tc>
      </w:tr>
    </w:tbl>
    <w:p>
      <w:pPr>
        <w:pStyle w:val="2"/>
        <w:rPr>
          <w:highlight w:val="none"/>
        </w:rPr>
      </w:pPr>
    </w:p>
    <w:p>
      <w:pPr>
        <w:spacing w:before="90" w:line="480" w:lineRule="auto"/>
        <w:rPr>
          <w:rFonts w:ascii="宋体" w:hAnsi="宋体" w:eastAsia="宋体" w:cs="宋体"/>
          <w:highlight w:val="none"/>
        </w:rPr>
      </w:pPr>
      <w:r>
        <w:rPr>
          <w:rFonts w:hint="eastAsia" w:ascii="宋体" w:hAnsi="宋体" w:eastAsia="宋体" w:cs="宋体"/>
          <w:highlight w:val="none"/>
        </w:rPr>
        <w:t>采购包</w:t>
      </w:r>
      <w:r>
        <w:rPr>
          <w:rFonts w:hint="eastAsia" w:ascii="宋体" w:hAnsi="宋体" w:eastAsia="宋体" w:cs="宋体"/>
          <w:highlight w:val="none"/>
          <w:lang w:val="en-US" w:eastAsia="zh-CN"/>
        </w:rPr>
        <w:t>3</w:t>
      </w:r>
      <w:r>
        <w:rPr>
          <w:rFonts w:hint="eastAsia" w:ascii="宋体" w:hAnsi="宋体" w:eastAsia="宋体" w:cs="宋体"/>
          <w:b/>
          <w:bCs/>
          <w:highlight w:val="none"/>
        </w:rPr>
        <w:t>（声像类司法鉴定服务</w:t>
      </w:r>
      <w:r>
        <w:rPr>
          <w:rFonts w:hint="eastAsia" w:ascii="宋体" w:hAnsi="宋体" w:eastAsia="宋体" w:cs="宋体"/>
          <w:b/>
          <w:bCs/>
          <w:spacing w:val="-44"/>
          <w:highlight w:val="none"/>
        </w:rPr>
        <w:t>）</w:t>
      </w:r>
      <w:r>
        <w:rPr>
          <w:rFonts w:hint="eastAsia" w:ascii="宋体" w:hAnsi="宋体" w:eastAsia="宋体" w:cs="宋体"/>
          <w:spacing w:val="-44"/>
          <w:highlight w:val="none"/>
        </w:rPr>
        <w:t>：</w:t>
      </w:r>
    </w:p>
    <w:p>
      <w:pPr>
        <w:spacing w:line="480" w:lineRule="auto"/>
        <w:rPr>
          <w:rFonts w:ascii="宋体" w:hAnsi="宋体" w:eastAsia="宋体" w:cs="宋体"/>
          <w:highlight w:val="none"/>
        </w:rPr>
      </w:pPr>
      <w:r>
        <w:rPr>
          <w:rFonts w:hint="eastAsia" w:ascii="宋体" w:hAnsi="宋体" w:eastAsia="宋体" w:cs="宋体"/>
          <w:highlight w:val="none"/>
        </w:rPr>
        <w:t>1.主要商务要求</w:t>
      </w:r>
    </w:p>
    <w:tbl>
      <w:tblPr>
        <w:tblStyle w:val="6"/>
        <w:tblW w:w="498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77"/>
        <w:gridCol w:w="7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55" w:type="pct"/>
            <w:vAlign w:val="center"/>
          </w:tcPr>
          <w:p>
            <w:pPr>
              <w:spacing w:line="480" w:lineRule="auto"/>
              <w:jc w:val="center"/>
              <w:rPr>
                <w:rFonts w:ascii="宋体" w:hAnsi="宋体" w:eastAsia="宋体" w:cs="宋体"/>
                <w:highlight w:val="none"/>
              </w:rPr>
            </w:pPr>
            <w:r>
              <w:rPr>
                <w:rFonts w:hint="eastAsia" w:ascii="宋体" w:hAnsi="宋体" w:eastAsia="宋体" w:cs="宋体"/>
                <w:highlight w:val="none"/>
              </w:rPr>
              <w:t>标的提供的时间</w:t>
            </w:r>
          </w:p>
        </w:tc>
        <w:tc>
          <w:tcPr>
            <w:tcW w:w="3844" w:type="pct"/>
          </w:tcPr>
          <w:p>
            <w:pPr>
              <w:rPr>
                <w:highlight w:val="none"/>
              </w:rPr>
            </w:pPr>
            <w:r>
              <w:rPr>
                <w:rFonts w:hint="eastAsia"/>
                <w:highlight w:val="none"/>
              </w:rPr>
              <w:t>服务期自合同签订</w:t>
            </w:r>
            <w:r>
              <w:rPr>
                <w:rFonts w:hint="eastAsia"/>
                <w:highlight w:val="none"/>
                <w:lang w:eastAsia="zh-CN"/>
              </w:rPr>
              <w:t>之</w:t>
            </w:r>
            <w:r>
              <w:rPr>
                <w:rFonts w:hint="eastAsia"/>
                <w:highlight w:val="none"/>
              </w:rPr>
              <w:t>日起2年或至对应包组预算费用据实结算用完为止。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5" w:type="pct"/>
            <w:vAlign w:val="center"/>
          </w:tcPr>
          <w:p>
            <w:pPr>
              <w:spacing w:line="480" w:lineRule="auto"/>
              <w:jc w:val="center"/>
              <w:rPr>
                <w:rFonts w:ascii="宋体" w:hAnsi="宋体" w:eastAsia="宋体" w:cs="宋体"/>
                <w:highlight w:val="none"/>
              </w:rPr>
            </w:pPr>
            <w:r>
              <w:rPr>
                <w:rFonts w:hint="eastAsia" w:ascii="宋体" w:hAnsi="宋体" w:eastAsia="宋体" w:cs="宋体"/>
                <w:highlight w:val="none"/>
              </w:rPr>
              <w:t>标的提供的地点</w:t>
            </w:r>
          </w:p>
        </w:tc>
        <w:tc>
          <w:tcPr>
            <w:tcW w:w="3844" w:type="pct"/>
          </w:tcPr>
          <w:p>
            <w:pPr>
              <w:rPr>
                <w:rFonts w:hint="default" w:eastAsia="宋体"/>
                <w:highlight w:val="none"/>
                <w:lang w:val="en-US" w:eastAsia="zh-CN"/>
              </w:rPr>
            </w:pPr>
            <w:r>
              <w:rPr>
                <w:rFonts w:hint="eastAsia" w:eastAsia="宋体"/>
                <w:highlight w:val="none"/>
                <w:lang w:val="en-US" w:eastAsia="zh-CN"/>
              </w:rPr>
              <w:t>广州市公安局增城区分局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55" w:type="pct"/>
            <w:vAlign w:val="center"/>
          </w:tcPr>
          <w:p>
            <w:pPr>
              <w:spacing w:line="480" w:lineRule="auto"/>
              <w:jc w:val="center"/>
              <w:rPr>
                <w:rFonts w:ascii="宋体" w:hAnsi="宋体" w:eastAsia="宋体" w:cs="宋体"/>
                <w:highlight w:val="none"/>
              </w:rPr>
            </w:pPr>
            <w:r>
              <w:rPr>
                <w:rFonts w:hint="eastAsia" w:ascii="宋体" w:hAnsi="宋体" w:eastAsia="宋体" w:cs="宋体"/>
                <w:highlight w:val="none"/>
              </w:rPr>
              <w:t>投标有效期</w:t>
            </w:r>
          </w:p>
        </w:tc>
        <w:tc>
          <w:tcPr>
            <w:tcW w:w="3844" w:type="pct"/>
          </w:tcPr>
          <w:p>
            <w:pPr>
              <w:spacing w:line="480" w:lineRule="auto"/>
              <w:rPr>
                <w:rFonts w:ascii="宋体" w:hAnsi="宋体" w:eastAsia="宋体" w:cs="宋体"/>
                <w:highlight w:val="none"/>
              </w:rPr>
            </w:pPr>
            <w:r>
              <w:rPr>
                <w:rFonts w:hint="eastAsia" w:ascii="宋体" w:hAnsi="宋体" w:eastAsia="宋体" w:cs="宋体"/>
                <w:highlight w:val="none"/>
              </w:rPr>
              <w:t>从提交投标（响应）文件的截止之日起90日历天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155" w:type="pct"/>
            <w:vAlign w:val="center"/>
          </w:tcPr>
          <w:p>
            <w:pPr>
              <w:jc w:val="center"/>
              <w:rPr>
                <w:rFonts w:ascii="宋体" w:hAnsi="宋体" w:eastAsia="宋体" w:cs="宋体"/>
                <w:highlight w:val="none"/>
              </w:rPr>
            </w:pPr>
            <w:r>
              <w:rPr>
                <w:rFonts w:hint="eastAsia" w:ascii="宋体" w:hAnsi="宋体" w:eastAsia="宋体" w:cs="宋体"/>
                <w:highlight w:val="none"/>
              </w:rPr>
              <w:t>付款方式</w:t>
            </w:r>
          </w:p>
        </w:tc>
        <w:tc>
          <w:tcPr>
            <w:tcW w:w="3844" w:type="pct"/>
          </w:tcPr>
          <w:p>
            <w:pPr>
              <w:spacing w:line="480" w:lineRule="auto"/>
              <w:rPr>
                <w:rFonts w:hint="eastAsia" w:ascii="宋体" w:hAnsi="宋体" w:eastAsia="宋体" w:cs="宋体"/>
                <w:highlight w:val="none"/>
              </w:rPr>
            </w:pPr>
            <w:r>
              <w:rPr>
                <w:rFonts w:hint="eastAsia" w:ascii="宋体" w:hAnsi="宋体" w:eastAsia="宋体" w:cs="宋体"/>
                <w:highlight w:val="none"/>
              </w:rPr>
              <w:t>1期：</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val="en-US" w:eastAsia="zh-CN"/>
              </w:rPr>
              <w:t>1.</w:t>
            </w:r>
            <w:r>
              <w:rPr>
                <w:rFonts w:hint="eastAsia" w:ascii="宋体" w:hAnsi="宋体" w:eastAsia="宋体" w:cs="宋体"/>
                <w:highlight w:val="none"/>
                <w:lang w:eastAsia="zh-CN"/>
              </w:rPr>
              <w:t>鉴定服务费按实际完成鉴定项目内容进行结算，具体数量以中标人出具并由采购人签收的具有法律效力的司法鉴定意见书为准，每3个月结算一次。</w:t>
            </w:r>
          </w:p>
          <w:p>
            <w:pPr>
              <w:spacing w:line="480" w:lineRule="auto"/>
              <w:rPr>
                <w:rFonts w:hint="eastAsia" w:ascii="宋体" w:hAnsi="宋体" w:eastAsia="宋体" w:cs="宋体"/>
                <w:highlight w:val="none"/>
                <w:lang w:val="en-US"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w:t>
            </w:r>
            <w:r>
              <w:rPr>
                <w:rFonts w:hint="eastAsia" w:ascii="宋体" w:hAnsi="宋体" w:eastAsia="宋体" w:cs="宋体"/>
                <w:highlight w:val="none"/>
                <w:lang w:eastAsia="zh-CN"/>
              </w:rPr>
              <w:t>中标人须在服务期每次满3个月后的次月15日前向采购人提供该3个月的费用结算清单及等额的正式发票，采购人于10个工作日内予以审核确认，并向财政申请办理该鉴定服务费的支付手续。如中标人未按时提供发票的，采购人有权顺延办理财政支付手续的时间。</w:t>
            </w:r>
            <w:r>
              <w:rPr>
                <w:rFonts w:hint="eastAsia" w:ascii="宋体" w:hAnsi="宋体" w:eastAsia="宋体" w:cs="宋体"/>
                <w:highlight w:val="none"/>
                <w:lang w:val="en-US" w:eastAsia="zh-CN"/>
              </w:rPr>
              <w:t xml:space="preserve">  </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3</w:t>
            </w:r>
            <w:r>
              <w:rPr>
                <w:rFonts w:hint="eastAsia" w:ascii="宋体" w:hAnsi="宋体" w:eastAsia="宋体" w:cs="宋体"/>
                <w:highlight w:val="none"/>
                <w:lang w:val="en-US" w:eastAsia="zh-CN"/>
              </w:rPr>
              <w:t>.</w:t>
            </w:r>
            <w:r>
              <w:rPr>
                <w:rFonts w:hint="eastAsia" w:ascii="宋体" w:hAnsi="宋体" w:eastAsia="宋体" w:cs="宋体"/>
                <w:highlight w:val="none"/>
                <w:lang w:eastAsia="zh-CN"/>
              </w:rPr>
              <w:t>付款方式:采用支票、银行汇票、电汇三种形式。</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val="en-US" w:eastAsia="zh-CN"/>
              </w:rPr>
              <w:t>4.</w:t>
            </w:r>
            <w:r>
              <w:rPr>
                <w:rFonts w:hint="eastAsia" w:ascii="宋体" w:hAnsi="宋体" w:eastAsia="宋体" w:cs="宋体"/>
                <w:highlight w:val="none"/>
                <w:lang w:eastAsia="zh-CN"/>
              </w:rPr>
              <w:t>按合同支付款项前，中标人必须先向采购人提供与支付金额相符的有效发票，且收款方、出具发票方、合同中标人均必须与中标人名称一致。</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5、中标人凭以下有效文件与采购人结算：</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）合同；</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）中标人开具的正式发票;</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）验收报告（加盖采购人公章）;</w:t>
            </w:r>
          </w:p>
          <w:p>
            <w:pPr>
              <w:spacing w:line="480" w:lineRule="auto"/>
              <w:rPr>
                <w:rFonts w:hint="eastAsia" w:ascii="宋体" w:hAnsi="宋体" w:eastAsia="宋体" w:cs="宋体"/>
                <w:highlight w:val="none"/>
                <w:lang w:eastAsia="zh-CN"/>
              </w:rPr>
            </w:pPr>
            <w:r>
              <w:rPr>
                <w:rFonts w:hint="eastAsia" w:ascii="宋体" w:hAnsi="宋体" w:eastAsia="宋体" w:cs="宋体"/>
                <w:highlight w:val="none"/>
                <w:lang w:eastAsia="zh-CN"/>
              </w:rPr>
              <w:t>（4）中标通知书</w:t>
            </w:r>
          </w:p>
          <w:p>
            <w:pPr>
              <w:spacing w:line="480" w:lineRule="auto"/>
              <w:rPr>
                <w:highlight w:val="none"/>
              </w:rPr>
            </w:pPr>
            <w:r>
              <w:rPr>
                <w:rFonts w:hint="eastAsia" w:ascii="宋体" w:hAnsi="宋体" w:eastAsia="宋体" w:cs="宋体"/>
                <w:highlight w:val="none"/>
                <w:lang w:eastAsia="zh-CN"/>
              </w:rPr>
              <w:t>6</w:t>
            </w:r>
            <w:r>
              <w:rPr>
                <w:rFonts w:hint="eastAsia" w:ascii="宋体" w:hAnsi="宋体" w:eastAsia="宋体" w:cs="宋体"/>
                <w:highlight w:val="none"/>
                <w:lang w:val="en-US" w:eastAsia="zh-CN"/>
              </w:rPr>
              <w:t>.</w:t>
            </w:r>
            <w:r>
              <w:rPr>
                <w:rFonts w:hint="eastAsia" w:ascii="宋体" w:hAnsi="宋体" w:eastAsia="宋体" w:cs="宋体"/>
                <w:highlight w:val="none"/>
                <w:lang w:eastAsia="zh-CN"/>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155" w:type="pct"/>
            <w:vAlign w:val="center"/>
          </w:tcPr>
          <w:p>
            <w:pPr>
              <w:jc w:val="center"/>
              <w:rPr>
                <w:rFonts w:ascii="宋体" w:hAnsi="宋体" w:eastAsia="宋体" w:cs="宋体"/>
                <w:highlight w:val="none"/>
              </w:rPr>
            </w:pPr>
            <w:r>
              <w:rPr>
                <w:rFonts w:hint="eastAsia" w:ascii="宋体" w:hAnsi="宋体" w:eastAsia="宋体" w:cs="宋体"/>
                <w:highlight w:val="none"/>
              </w:rPr>
              <w:t>验收要求</w:t>
            </w:r>
          </w:p>
        </w:tc>
        <w:tc>
          <w:tcPr>
            <w:tcW w:w="3844" w:type="pct"/>
          </w:tcPr>
          <w:p>
            <w:pPr>
              <w:spacing w:line="360" w:lineRule="auto"/>
              <w:rPr>
                <w:rFonts w:hint="eastAsia" w:ascii="宋体" w:hAnsi="宋体" w:eastAsia="宋体" w:cs="宋体"/>
                <w:highlight w:val="none"/>
              </w:rPr>
            </w:pPr>
            <w:r>
              <w:rPr>
                <w:rFonts w:hint="eastAsia" w:ascii="宋体" w:hAnsi="宋体" w:eastAsia="宋体" w:cs="宋体"/>
                <w:highlight w:val="none"/>
              </w:rPr>
              <w:t>1期：</w:t>
            </w:r>
          </w:p>
          <w:p>
            <w:pPr>
              <w:pStyle w:val="7"/>
              <w:numPr>
                <w:ilvl w:val="0"/>
                <w:numId w:val="2"/>
              </w:numPr>
              <w:rPr>
                <w:rFonts w:hint="eastAsia" w:ascii="宋体" w:hAnsi="宋体" w:eastAsia="宋体" w:cs="宋体"/>
                <w:bCs w:val="0"/>
                <w:snapToGrid w:val="0"/>
                <w:color w:val="000000"/>
                <w:spacing w:val="0"/>
                <w:sz w:val="21"/>
                <w:szCs w:val="21"/>
                <w:highlight w:val="none"/>
                <w:lang w:val="en-US" w:eastAsia="zh-CN" w:bidi="ar-SA"/>
              </w:rPr>
            </w:pPr>
            <w:r>
              <w:rPr>
                <w:rFonts w:hint="eastAsia" w:ascii="宋体" w:hAnsi="宋体" w:eastAsia="宋体" w:cs="宋体"/>
                <w:bCs w:val="0"/>
                <w:snapToGrid w:val="0"/>
                <w:color w:val="000000"/>
                <w:spacing w:val="0"/>
                <w:sz w:val="21"/>
                <w:szCs w:val="21"/>
                <w:highlight w:val="none"/>
                <w:lang w:val="en-US" w:eastAsia="zh-CN" w:bidi="ar-SA"/>
              </w:rPr>
              <w:t>中标人完成司声像类司法鉴定服务，出具具有法律效力的鉴定报告。</w:t>
            </w:r>
          </w:p>
          <w:p>
            <w:pPr>
              <w:pStyle w:val="7"/>
              <w:numPr>
                <w:ilvl w:val="0"/>
                <w:numId w:val="2"/>
              </w:numPr>
              <w:rPr>
                <w:rFonts w:hint="default" w:ascii="宋体" w:hAnsi="宋体" w:eastAsia="宋体" w:cs="宋体"/>
                <w:bCs w:val="0"/>
                <w:snapToGrid w:val="0"/>
                <w:color w:val="000000"/>
                <w:spacing w:val="0"/>
                <w:sz w:val="21"/>
                <w:szCs w:val="21"/>
                <w:highlight w:val="none"/>
                <w:lang w:val="en-US" w:eastAsia="zh-CN" w:bidi="ar-SA"/>
              </w:rPr>
            </w:pPr>
            <w:r>
              <w:rPr>
                <w:rFonts w:hint="default" w:ascii="宋体" w:hAnsi="宋体" w:eastAsia="宋体" w:cs="宋体"/>
                <w:bCs w:val="0"/>
                <w:snapToGrid w:val="0"/>
                <w:color w:val="000000"/>
                <w:spacing w:val="0"/>
                <w:sz w:val="21"/>
                <w:szCs w:val="21"/>
                <w:highlight w:val="none"/>
                <w:lang w:val="en-US" w:eastAsia="zh-CN" w:bidi="ar-SA"/>
              </w:rPr>
              <w:t>任务时效要求。中标人承诺在接受一个司法鉴定委托后5个自然日内（含），根据采购人要求出具该项委托的司法鉴定报告。如遇紧急情况下，应当在3个自然日内（含）出具该项委托的司法鉴定报告。如遇复杂、疑难、特殊的技术问题，需要延长提取固定分析鉴定时间的，必须提前与采购人沟通，得到采购人确认后方可延长。委托受理后，因无正当理由未在规定时间内出具司法鉴定报告，或报告未能反映案件真实情况，采购人有权拒绝支付司法鉴定费用。并且，采购人有权委托其他鉴定机构进行鉴定，因此产生的费用由中标人负责，造成的相关法律后果也由中标人负责。</w:t>
            </w:r>
          </w:p>
          <w:p>
            <w:pPr>
              <w:pStyle w:val="7"/>
              <w:numPr>
                <w:ilvl w:val="0"/>
                <w:numId w:val="2"/>
              </w:numPr>
              <w:rPr>
                <w:rFonts w:hint="default" w:ascii="宋体" w:hAnsi="宋体" w:eastAsia="宋体" w:cs="宋体"/>
                <w:bCs w:val="0"/>
                <w:snapToGrid w:val="0"/>
                <w:color w:val="000000"/>
                <w:spacing w:val="0"/>
                <w:sz w:val="21"/>
                <w:szCs w:val="21"/>
                <w:highlight w:val="none"/>
                <w:lang w:val="en-US" w:eastAsia="zh-CN" w:bidi="ar-SA"/>
              </w:rPr>
            </w:pPr>
            <w:r>
              <w:rPr>
                <w:rFonts w:hint="default" w:ascii="宋体" w:hAnsi="宋体" w:eastAsia="宋体" w:cs="宋体"/>
                <w:bCs w:val="0"/>
                <w:snapToGrid w:val="0"/>
                <w:color w:val="000000"/>
                <w:spacing w:val="0"/>
                <w:sz w:val="21"/>
                <w:szCs w:val="21"/>
                <w:highlight w:val="none"/>
                <w:lang w:val="en-US" w:eastAsia="zh-CN" w:bidi="ar-SA"/>
              </w:rPr>
              <w:t>中标人的派驻人员须上门接收检材；为确保检材样本安全，检材样本在采购方单位监控视频下交接，进行签收确认并盖章；检材样本放入采购人单位设置定期更换专用密码的密码箱（密码箱由中标人购买），密码仅限采购人单位固定人员以及中标人的固定检验人员持有。密码箱运送途中全程进行视频监控，直至送到中标人持有专用密码的固定检验人员手中，并在中标人的监控视频下打开。中标人对每一次运送途中视频监控资料拷贝后制成光盘统一保管，随时接受采购人机及相关部门检查。</w:t>
            </w:r>
          </w:p>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55" w:type="pct"/>
            <w:vAlign w:val="center"/>
          </w:tcPr>
          <w:p>
            <w:pPr>
              <w:jc w:val="center"/>
              <w:rPr>
                <w:rFonts w:ascii="宋体" w:hAnsi="宋体" w:eastAsia="宋体" w:cs="宋体"/>
                <w:highlight w:val="none"/>
              </w:rPr>
            </w:pPr>
            <w:r>
              <w:rPr>
                <w:rFonts w:hint="eastAsia" w:ascii="宋体" w:hAnsi="宋体" w:eastAsia="宋体" w:cs="宋体"/>
                <w:highlight w:val="none"/>
              </w:rPr>
              <w:t>履约保证金</w:t>
            </w:r>
          </w:p>
        </w:tc>
        <w:tc>
          <w:tcPr>
            <w:tcW w:w="3844" w:type="pct"/>
          </w:tcPr>
          <w:p>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中标人与采购人签订本合同后30个工作日内，按照合同总额的5%以支票、汇票、本票或金融机构、担保机构出具的保函等非现金形式向采购人提交履约保证金。履约保证金有效期至项目服务期结束。</w:t>
            </w:r>
          </w:p>
          <w:p>
            <w:pPr>
              <w:spacing w:line="360" w:lineRule="auto"/>
              <w:ind w:firstLine="420" w:firstLineChars="200"/>
              <w:rPr>
                <w:rFonts w:hint="eastAsia" w:ascii="宋体" w:hAnsi="宋体" w:eastAsia="宋体" w:cs="宋体"/>
                <w:highlight w:val="none"/>
                <w:lang w:eastAsia="zh-CN"/>
              </w:rPr>
            </w:pPr>
            <w:r>
              <w:rPr>
                <w:rFonts w:hint="eastAsia" w:ascii="宋体" w:hAnsi="宋体" w:eastAsia="宋体" w:cs="宋体"/>
                <w:highlight w:val="none"/>
                <w:lang w:eastAsia="zh-CN"/>
              </w:rPr>
              <w:t>若中标人没有违约行为，履约保证金在合同有效期满后15个工作日内由采购人无息退还中标人；若中标人有违约行为，采购人有权在履约保证金中抵扣违约金或因此给采购人造成的实际经济损失。</w:t>
            </w:r>
          </w:p>
          <w:p>
            <w:pPr>
              <w:spacing w:line="360" w:lineRule="auto"/>
              <w:ind w:firstLine="420" w:firstLineChars="200"/>
              <w:rPr>
                <w:rFonts w:ascii="宋体" w:hAnsi="宋体" w:eastAsia="宋体" w:cs="宋体"/>
                <w:highlight w:val="none"/>
              </w:rPr>
            </w:pPr>
            <w:r>
              <w:rPr>
                <w:rFonts w:hint="eastAsia" w:ascii="宋体" w:hAnsi="宋体" w:eastAsia="宋体" w:cs="宋体"/>
                <w:highlight w:val="none"/>
                <w:lang w:eastAsia="zh-CN"/>
              </w:rPr>
              <w:t>下列任何一种情况发生时，采购人有权不予退还履约保证金：（一）有明显证据证明中标人未履行本合同约定的；（二）中标人有明显过错致采购人造成损失的；（三）中标人在实施项目过程中出现其它违法违规的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7" w:hRule="atLeast"/>
        </w:trPr>
        <w:tc>
          <w:tcPr>
            <w:tcW w:w="1155" w:type="pct"/>
            <w:vAlign w:val="center"/>
          </w:tcPr>
          <w:p>
            <w:pPr>
              <w:jc w:val="center"/>
              <w:rPr>
                <w:rFonts w:ascii="宋体" w:hAnsi="宋体" w:eastAsia="宋体" w:cs="宋体"/>
                <w:highlight w:val="none"/>
              </w:rPr>
            </w:pPr>
            <w:r>
              <w:rPr>
                <w:rFonts w:hint="eastAsia" w:ascii="宋体" w:hAnsi="宋体" w:eastAsia="宋体" w:cs="宋体"/>
                <w:highlight w:val="none"/>
              </w:rPr>
              <w:t>其他</w:t>
            </w:r>
          </w:p>
        </w:tc>
        <w:tc>
          <w:tcPr>
            <w:tcW w:w="3844" w:type="pct"/>
          </w:tcPr>
          <w:p>
            <w:pPr>
              <w:pStyle w:val="2"/>
              <w:rPr>
                <w:rFonts w:hint="eastAsia" w:ascii="Arial" w:hAnsi="Arial" w:eastAsia="Arial" w:cs="Arial"/>
                <w:b/>
                <w:bCs/>
                <w:snapToGrid w:val="0"/>
                <w:color w:val="000000"/>
                <w:sz w:val="21"/>
                <w:szCs w:val="21"/>
                <w:highlight w:val="none"/>
                <w:lang w:val="en-US" w:eastAsia="zh-CN" w:bidi="ar-SA"/>
              </w:rPr>
            </w:pPr>
            <w:r>
              <w:rPr>
                <w:rFonts w:hint="eastAsia" w:ascii="Arial" w:hAnsi="Arial" w:eastAsia="Arial" w:cs="Arial"/>
                <w:b/>
                <w:bCs/>
                <w:snapToGrid w:val="0"/>
                <w:color w:val="000000"/>
                <w:sz w:val="21"/>
                <w:szCs w:val="21"/>
                <w:highlight w:val="none"/>
                <w:lang w:val="en-US" w:eastAsia="zh-CN" w:bidi="ar-SA"/>
              </w:rPr>
              <w:t>（一）违约责任与赔偿损失 </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1. 中标人提供的服务不符合招标文件、投标文件或本合同规定的，采购人有权拒收，并且中标人须向采购人支付本合同总价10%的违约金。</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2. 中标人未能按本合同规定的时间提供服务，从逾期之日起每日按本合同总价3‰的数额向采购人支付违约金；逾期半个月以上的，采购人有权终止合同，由此造成的采购人经济损失由中标人承担。</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3. 其它违约责任按《中华人民共和国民法典》处理。</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4. 采购人保留对中标人违法违规行为通报给司法部门的权利。</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5. 对本规定未明确的事宜，因中标人违反国家法律法规及司法程序规定进行检验的，由中标人承担法律责任。</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6. 中标人应该在相关法律法规、政府文件指导下提供所有服务及收费，若违背有关规定，采购人有权对已签订合同进行解约。</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7. 除采购人在招标文件中明确外，中标人不得以任何方式转包、分包或挂靠本项目。如发现中标人以转包、分包或挂靠的方式谋取中标，采购人有权解除合同，中标人应向采购人支付合同金额的20%违约金，造成一切损失由中标人承担。</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8. 因中标人在鉴定活动中存在的问题被主管部门通报，暂停鉴定业务的，采购人有权委托第三方机构进行检验鉴定，费用由中标人负责，并且向采购人支付本合同总价20%的违约金。采购人有权将对涉事相关单位或人员移送追究刑事或民事责任及通报司法主管机构。</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9. 中标人因故意或者重大过失出具了虚假或错误的鉴定报告，应视为本合同第十一条第1项“中标人提供的服务不符合招标文件、投标文件或本合同规定”的情形，中标人应承担相应的违约责任。采购人依据中标人虚假或错误的鉴定报告作出的具体司法行政行为有错，侵害当事人合法权益而需要赔偿的，相关赔偿款项由中标人全额支付。</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10. 合同执行过程中发生的任何争议，如双方不能通过友好协商解决，甲、乙双方一致同意向采购人所在地广州市增城区人民法院提起诉讼。</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注：</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1）司法鉴定机构应当严格执行《广东司法鉴定收费项目和收费标准》（痕迹类严格按采购人需求中“痕迹类司法鉴定服务的鉴定基准收费标准”），除向委托人收取司法鉴定费用和按照《司法鉴定委托书》约定的与司法鉴定事项相关的费用外，不得擅自设立收费项目、分解收费项目、提高收费标准收费;不得违背委托人意愿，强制或变相强制提供鉴定服务并收费。严格执行明码标价规定，在显著位置公示司法鉴定项目、收费标准等信息，接受社会监督。</w:t>
            </w:r>
          </w:p>
          <w:p>
            <w:pPr>
              <w:pStyle w:val="2"/>
              <w:rPr>
                <w:rFonts w:hint="eastAsia" w:ascii="Arial" w:hAnsi="Arial" w:eastAsia="Arial" w:cs="Arial"/>
                <w:snapToGrid w:val="0"/>
                <w:color w:val="000000"/>
                <w:sz w:val="21"/>
                <w:szCs w:val="21"/>
                <w:highlight w:val="none"/>
                <w:lang w:val="en-US" w:eastAsia="zh-CN" w:bidi="ar-SA"/>
              </w:rPr>
            </w:pPr>
            <w:r>
              <w:rPr>
                <w:rFonts w:hint="eastAsia" w:ascii="Arial" w:hAnsi="Arial" w:eastAsia="Arial" w:cs="Arial"/>
                <w:snapToGrid w:val="0"/>
                <w:color w:val="000000"/>
                <w:sz w:val="21"/>
                <w:szCs w:val="21"/>
                <w:highlight w:val="none"/>
                <w:lang w:val="en-US" w:eastAsia="zh-CN" w:bidi="ar-SA"/>
              </w:rPr>
              <w:t>（2）上述收费标准未列出的项目，参照《广东省发展改革委广东省司法厅关于我省司法鉴定收费政策的通知》（粤发改价格函 【2019】3103 号）等政府规定文件指导收费。涉及重大案件或者复杂疑难、特殊技术问题的司法鉴定事项，其鉴定项目收费标准可在政府指导基准价的基础上上浮不超过40%以内协商确定。重大案件或者复杂疑难、特殊技术问题的司法鉴定事项的认定标准，由省司法厅另行制定。</w:t>
            </w:r>
          </w:p>
          <w:p>
            <w:pPr>
              <w:rPr>
                <w:highlight w:val="none"/>
              </w:rPr>
            </w:pPr>
          </w:p>
        </w:tc>
      </w:tr>
    </w:tbl>
    <w:p>
      <w:pPr>
        <w:spacing w:before="267" w:line="360" w:lineRule="auto"/>
        <w:ind w:firstLine="15"/>
        <w:outlineLvl w:val="2"/>
        <w:rPr>
          <w:rFonts w:ascii="宋体" w:hAnsi="宋体" w:eastAsia="宋体" w:cs="宋体"/>
          <w:highlight w:val="none"/>
        </w:rPr>
      </w:pPr>
      <w:r>
        <w:rPr>
          <w:rFonts w:hint="eastAsia" w:ascii="宋体" w:hAnsi="宋体" w:eastAsia="宋体" w:cs="宋体"/>
          <w:highlight w:val="none"/>
        </w:rPr>
        <w:t>2.技术标准与要求</w:t>
      </w:r>
    </w:p>
    <w:tbl>
      <w:tblPr>
        <w:tblStyle w:val="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9"/>
        <w:gridCol w:w="1060"/>
        <w:gridCol w:w="1498"/>
        <w:gridCol w:w="1859"/>
        <w:gridCol w:w="408"/>
        <w:gridCol w:w="525"/>
        <w:gridCol w:w="1279"/>
        <w:gridCol w:w="1279"/>
        <w:gridCol w:w="773"/>
        <w:gridCol w:w="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96"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序序号</w:t>
            </w:r>
          </w:p>
        </w:tc>
        <w:tc>
          <w:tcPr>
            <w:tcW w:w="417"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核心产品（“△”）</w:t>
            </w:r>
          </w:p>
        </w:tc>
        <w:tc>
          <w:tcPr>
            <w:tcW w:w="809"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品目名称</w:t>
            </w:r>
          </w:p>
        </w:tc>
        <w:tc>
          <w:tcPr>
            <w:tcW w:w="1000"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标的名称</w:t>
            </w:r>
          </w:p>
        </w:tc>
        <w:tc>
          <w:tcPr>
            <w:tcW w:w="232"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单位</w:t>
            </w:r>
          </w:p>
        </w:tc>
        <w:tc>
          <w:tcPr>
            <w:tcW w:w="294"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数量</w:t>
            </w:r>
          </w:p>
        </w:tc>
        <w:tc>
          <w:tcPr>
            <w:tcW w:w="693"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分项预算单价</w:t>
            </w:r>
          </w:p>
          <w:p>
            <w:pPr>
              <w:jc w:val="center"/>
              <w:rPr>
                <w:rFonts w:ascii="宋体" w:hAnsi="宋体" w:eastAsia="宋体" w:cs="宋体"/>
                <w:highlight w:val="none"/>
              </w:rPr>
            </w:pPr>
            <w:r>
              <w:rPr>
                <w:rFonts w:hint="eastAsia" w:ascii="宋体" w:hAnsi="宋体" w:eastAsia="宋体" w:cs="宋体"/>
                <w:highlight w:val="none"/>
              </w:rPr>
              <w:t>（元）</w:t>
            </w:r>
          </w:p>
        </w:tc>
        <w:tc>
          <w:tcPr>
            <w:tcW w:w="693"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分项预算总价</w:t>
            </w:r>
          </w:p>
          <w:p>
            <w:pPr>
              <w:jc w:val="center"/>
              <w:rPr>
                <w:rFonts w:ascii="宋体" w:hAnsi="宋体" w:eastAsia="宋体" w:cs="宋体"/>
                <w:highlight w:val="none"/>
              </w:rPr>
            </w:pPr>
            <w:r>
              <w:rPr>
                <w:rFonts w:hint="eastAsia" w:ascii="宋体" w:hAnsi="宋体" w:eastAsia="宋体" w:cs="宋体"/>
                <w:highlight w:val="none"/>
              </w:rPr>
              <w:t>（元）</w:t>
            </w:r>
          </w:p>
        </w:tc>
        <w:tc>
          <w:tcPr>
            <w:tcW w:w="425"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所属行业</w:t>
            </w:r>
          </w:p>
        </w:tc>
        <w:tc>
          <w:tcPr>
            <w:tcW w:w="236" w:type="pct"/>
            <w:shd w:val="clear" w:color="auto" w:fill="F5F5F5"/>
            <w:vAlign w:val="center"/>
          </w:tcPr>
          <w:p>
            <w:pPr>
              <w:jc w:val="center"/>
              <w:rPr>
                <w:rFonts w:ascii="宋体" w:hAnsi="宋体" w:eastAsia="宋体" w:cs="宋体"/>
                <w:highlight w:val="none"/>
              </w:rPr>
            </w:pPr>
            <w:r>
              <w:rPr>
                <w:rFonts w:hint="eastAsia" w:ascii="宋体" w:hAnsi="宋体" w:eastAsia="宋体" w:cs="宋体"/>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trPr>
        <w:tc>
          <w:tcPr>
            <w:tcW w:w="196" w:type="pct"/>
            <w:vAlign w:val="center"/>
          </w:tcPr>
          <w:p>
            <w:pPr>
              <w:jc w:val="center"/>
              <w:rPr>
                <w:rFonts w:ascii="宋体" w:hAnsi="宋体" w:eastAsia="宋体" w:cs="宋体"/>
                <w:highlight w:val="none"/>
              </w:rPr>
            </w:pPr>
            <w:r>
              <w:rPr>
                <w:rFonts w:hint="eastAsia" w:ascii="宋体" w:hAnsi="宋体" w:eastAsia="宋体" w:cs="宋体"/>
                <w:highlight w:val="none"/>
              </w:rPr>
              <w:t>1</w:t>
            </w:r>
          </w:p>
        </w:tc>
        <w:tc>
          <w:tcPr>
            <w:tcW w:w="417" w:type="pct"/>
            <w:vAlign w:val="center"/>
          </w:tcPr>
          <w:p>
            <w:pPr>
              <w:jc w:val="center"/>
              <w:rPr>
                <w:rFonts w:ascii="宋体" w:hAnsi="宋体" w:eastAsia="宋体" w:cs="宋体"/>
                <w:highlight w:val="none"/>
              </w:rPr>
            </w:pPr>
          </w:p>
        </w:tc>
        <w:tc>
          <w:tcPr>
            <w:tcW w:w="809"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其他专业技术服务</w:t>
            </w:r>
          </w:p>
        </w:tc>
        <w:tc>
          <w:tcPr>
            <w:tcW w:w="1000" w:type="pct"/>
            <w:vAlign w:val="center"/>
          </w:tcPr>
          <w:p>
            <w:pPr>
              <w:jc w:val="center"/>
              <w:rPr>
                <w:rFonts w:ascii="宋体" w:hAnsi="宋体" w:eastAsia="宋体" w:cs="宋体"/>
                <w:highlight w:val="none"/>
              </w:rPr>
            </w:pPr>
            <w:r>
              <w:rPr>
                <w:rFonts w:hint="eastAsia" w:ascii="宋体" w:hAnsi="宋体" w:eastAsia="宋体" w:cs="宋体"/>
                <w:highlight w:val="none"/>
                <w:lang w:val="en-US" w:eastAsia="zh-CN"/>
              </w:rPr>
              <w:t>声像</w:t>
            </w:r>
            <w:r>
              <w:rPr>
                <w:rFonts w:hint="eastAsia" w:ascii="宋体" w:hAnsi="宋体" w:eastAsia="宋体" w:cs="宋体"/>
                <w:highlight w:val="none"/>
              </w:rPr>
              <w:t>类司法鉴定服务</w:t>
            </w:r>
          </w:p>
        </w:tc>
        <w:tc>
          <w:tcPr>
            <w:tcW w:w="232" w:type="pct"/>
            <w:vAlign w:val="center"/>
          </w:tcPr>
          <w:p>
            <w:pPr>
              <w:jc w:val="center"/>
              <w:rPr>
                <w:rFonts w:ascii="宋体" w:hAnsi="宋体" w:eastAsia="宋体" w:cs="宋体"/>
                <w:highlight w:val="none"/>
              </w:rPr>
            </w:pPr>
            <w:r>
              <w:rPr>
                <w:rFonts w:hint="eastAsia" w:ascii="宋体" w:hAnsi="宋体" w:eastAsia="宋体" w:cs="宋体"/>
                <w:highlight w:val="none"/>
              </w:rPr>
              <w:t>项</w:t>
            </w:r>
          </w:p>
        </w:tc>
        <w:tc>
          <w:tcPr>
            <w:tcW w:w="294" w:type="pct"/>
            <w:vAlign w:val="center"/>
          </w:tcPr>
          <w:p>
            <w:pPr>
              <w:jc w:val="center"/>
              <w:rPr>
                <w:rFonts w:ascii="宋体" w:hAnsi="宋体" w:eastAsia="宋体" w:cs="宋体"/>
                <w:highlight w:val="none"/>
              </w:rPr>
            </w:pPr>
            <w:r>
              <w:rPr>
                <w:rFonts w:hint="eastAsia" w:ascii="宋体" w:hAnsi="宋体" w:eastAsia="宋体" w:cs="宋体"/>
                <w:highlight w:val="none"/>
              </w:rPr>
              <w:t>1.00</w:t>
            </w:r>
          </w:p>
        </w:tc>
        <w:tc>
          <w:tcPr>
            <w:tcW w:w="693" w:type="pct"/>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400，000.00</w:t>
            </w:r>
          </w:p>
        </w:tc>
        <w:tc>
          <w:tcPr>
            <w:tcW w:w="693" w:type="pct"/>
            <w:vAlign w:val="center"/>
          </w:tcPr>
          <w:p>
            <w:pPr>
              <w:jc w:val="center"/>
              <w:rPr>
                <w:rFonts w:ascii="宋体" w:hAnsi="宋体" w:eastAsia="宋体" w:cs="宋体"/>
                <w:highlight w:val="none"/>
              </w:rPr>
            </w:pPr>
            <w:r>
              <w:rPr>
                <w:rFonts w:hint="eastAsia" w:ascii="宋体" w:hAnsi="宋体" w:eastAsia="宋体" w:cs="宋体"/>
                <w:highlight w:val="none"/>
                <w:lang w:val="en-US" w:eastAsia="zh-CN"/>
              </w:rPr>
              <w:t>400，000.00</w:t>
            </w:r>
          </w:p>
        </w:tc>
        <w:tc>
          <w:tcPr>
            <w:tcW w:w="425" w:type="pct"/>
            <w:vAlign w:val="center"/>
          </w:tcPr>
          <w:p>
            <w:pPr>
              <w:jc w:val="center"/>
              <w:rPr>
                <w:rFonts w:ascii="宋体" w:hAnsi="宋体" w:eastAsia="宋体" w:cs="宋体"/>
                <w:highlight w:val="none"/>
              </w:rPr>
            </w:pPr>
          </w:p>
        </w:tc>
        <w:tc>
          <w:tcPr>
            <w:tcW w:w="236" w:type="pct"/>
            <w:vAlign w:val="center"/>
          </w:tcPr>
          <w:p>
            <w:pPr>
              <w:jc w:val="center"/>
              <w:rPr>
                <w:rFonts w:ascii="宋体" w:hAnsi="宋体" w:eastAsia="宋体" w:cs="宋体"/>
                <w:highlight w:val="none"/>
              </w:rPr>
            </w:pPr>
            <w:r>
              <w:rPr>
                <w:rFonts w:hint="eastAsia" w:ascii="宋体" w:hAnsi="宋体" w:eastAsia="宋体" w:cs="宋体"/>
                <w:highlight w:val="none"/>
              </w:rPr>
              <w:t>详见附表一</w:t>
            </w:r>
          </w:p>
        </w:tc>
      </w:tr>
    </w:tbl>
    <w:p>
      <w:pPr>
        <w:spacing w:before="147" w:line="360" w:lineRule="auto"/>
        <w:ind w:firstLine="391"/>
        <w:rPr>
          <w:rFonts w:ascii="宋体" w:hAnsi="宋体" w:eastAsia="宋体" w:cs="宋体"/>
          <w:highlight w:val="none"/>
        </w:rPr>
      </w:pPr>
      <w:r>
        <w:rPr>
          <w:rFonts w:hint="eastAsia" w:ascii="宋体" w:hAnsi="宋体" w:eastAsia="宋体" w:cs="宋体"/>
          <w:spacing w:val="-1"/>
          <w:highlight w:val="none"/>
        </w:rPr>
        <w:t>注：若存在多项核心产品，当不同供应商提供的任意一项核心产品的品牌相同，则视同其是所响应核心产品品牌相同供应</w:t>
      </w:r>
      <w:r>
        <w:rPr>
          <w:rFonts w:hint="eastAsia" w:ascii="宋体" w:hAnsi="宋体" w:eastAsia="宋体" w:cs="宋体"/>
          <w:spacing w:val="-5"/>
          <w:highlight w:val="none"/>
        </w:rPr>
        <w:t>商。</w:t>
      </w:r>
    </w:p>
    <w:p>
      <w:pPr>
        <w:pStyle w:val="2"/>
        <w:rPr>
          <w:highlight w:val="none"/>
        </w:rPr>
      </w:pPr>
    </w:p>
    <w:p>
      <w:pPr>
        <w:spacing w:before="312" w:line="360" w:lineRule="auto"/>
        <w:ind w:firstLine="16"/>
        <w:rPr>
          <w:rFonts w:ascii="宋体" w:hAnsi="宋体" w:eastAsia="宋体" w:cs="宋体"/>
          <w:highlight w:val="none"/>
        </w:rPr>
      </w:pPr>
      <w:r>
        <w:rPr>
          <w:rFonts w:hint="eastAsia" w:ascii="宋体" w:hAnsi="宋体" w:eastAsia="宋体" w:cs="宋体"/>
          <w:spacing w:val="12"/>
          <w:highlight w:val="none"/>
        </w:rPr>
        <w:t>附表一：</w:t>
      </w:r>
      <w:r>
        <w:rPr>
          <w:rFonts w:hint="eastAsia" w:ascii="宋体" w:hAnsi="宋体" w:eastAsia="宋体" w:cs="宋体"/>
          <w:b/>
          <w:bCs/>
          <w:spacing w:val="-1"/>
          <w:highlight w:val="none"/>
        </w:rPr>
        <w:t>（声像类司法鉴定服务）</w:t>
      </w:r>
    </w:p>
    <w:tbl>
      <w:tblPr>
        <w:tblStyle w:val="6"/>
        <w:tblW w:w="502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76"/>
        <w:gridCol w:w="469"/>
        <w:gridCol w:w="6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252"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参数性质</w:t>
            </w:r>
          </w:p>
        </w:tc>
        <w:tc>
          <w:tcPr>
            <w:tcW w:w="246"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序号</w:t>
            </w:r>
          </w:p>
        </w:tc>
        <w:tc>
          <w:tcPr>
            <w:tcW w:w="3500" w:type="pct"/>
            <w:shd w:val="clear" w:color="auto" w:fill="F5F5F5"/>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2" w:type="pct"/>
            <w:vAlign w:val="center"/>
          </w:tcPr>
          <w:p>
            <w:pPr>
              <w:spacing w:line="360" w:lineRule="auto"/>
              <w:jc w:val="center"/>
              <w:rPr>
                <w:rFonts w:ascii="宋体" w:hAnsi="宋体" w:eastAsia="宋体" w:cs="宋体"/>
                <w:highlight w:val="none"/>
              </w:rPr>
            </w:pPr>
            <w:r>
              <w:rPr>
                <w:rFonts w:hint="eastAsia"/>
                <w:highlight w:val="none"/>
                <w:lang w:eastAsia="zh-CN"/>
              </w:rPr>
              <w:t>★</w:t>
            </w:r>
          </w:p>
        </w:tc>
        <w:tc>
          <w:tcPr>
            <w:tcW w:w="246" w:type="pct"/>
            <w:vAlign w:val="center"/>
          </w:tcPr>
          <w:p>
            <w:pPr>
              <w:spacing w:line="360" w:lineRule="auto"/>
              <w:jc w:val="center"/>
              <w:rPr>
                <w:rFonts w:ascii="宋体" w:hAnsi="宋体" w:eastAsia="宋体" w:cs="宋体"/>
                <w:highlight w:val="none"/>
              </w:rPr>
            </w:pPr>
            <w:r>
              <w:rPr>
                <w:rFonts w:hint="eastAsia" w:ascii="宋体" w:hAnsi="宋体" w:eastAsia="宋体" w:cs="宋体"/>
                <w:highlight w:val="none"/>
              </w:rPr>
              <w:t>1</w:t>
            </w:r>
          </w:p>
        </w:tc>
        <w:tc>
          <w:tcPr>
            <w:tcW w:w="3500" w:type="pct"/>
          </w:tcPr>
          <w:p>
            <w:pPr>
              <w:rPr>
                <w:rFonts w:hint="eastAsia"/>
                <w:highlight w:val="none"/>
                <w:lang w:eastAsia="zh-CN"/>
              </w:rPr>
            </w:pPr>
            <w:r>
              <w:rPr>
                <w:rFonts w:hint="eastAsia"/>
                <w:highlight w:val="none"/>
                <w:lang w:eastAsia="zh-CN"/>
              </w:rPr>
              <w:t>★中标人应按采购人委托的服务项目进行检验，并出具司定鉴定报告（报告达到公安机关、检察院和法院的证据要求），中标人对报告负责。</w:t>
            </w:r>
          </w:p>
          <w:p>
            <w:pPr>
              <w:rPr>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2" w:type="pct"/>
            <w:vAlign w:val="center"/>
          </w:tcPr>
          <w:p>
            <w:pPr>
              <w:spacing w:line="360" w:lineRule="auto"/>
              <w:jc w:val="center"/>
              <w:rPr>
                <w:rFonts w:hint="eastAsia"/>
                <w:highlight w:val="none"/>
                <w:lang w:eastAsia="zh-CN"/>
              </w:rPr>
            </w:pPr>
          </w:p>
        </w:tc>
        <w:tc>
          <w:tcPr>
            <w:tcW w:w="246" w:type="pct"/>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3500" w:type="pct"/>
          </w:tcPr>
          <w:p>
            <w:pPr>
              <w:ind w:firstLine="420" w:firstLineChars="200"/>
              <w:rPr>
                <w:rFonts w:hint="eastAsia"/>
                <w:highlight w:val="none"/>
                <w:lang w:val="en-US" w:eastAsia="zh-CN"/>
              </w:rPr>
            </w:pPr>
            <w:r>
              <w:rPr>
                <w:rFonts w:hint="eastAsia"/>
                <w:highlight w:val="none"/>
                <w:lang w:val="en-US" w:eastAsia="zh-CN"/>
              </w:rPr>
              <w:t>1.除采购人在招标文件中明确外，中标人不得以任何方式转包、分包或挂靠本项目。如发现中标人以转包、分包或挂靠的方式谋取中标，采购人有权解除合同、要求赔偿。</w:t>
            </w:r>
          </w:p>
          <w:p>
            <w:pPr>
              <w:ind w:firstLine="420" w:firstLineChars="200"/>
              <w:rPr>
                <w:rFonts w:hint="eastAsia"/>
                <w:highlight w:val="none"/>
                <w:lang w:val="en-US" w:eastAsia="zh-CN"/>
              </w:rPr>
            </w:pPr>
            <w:r>
              <w:rPr>
                <w:rFonts w:hint="eastAsia"/>
                <w:highlight w:val="none"/>
                <w:lang w:val="en-US" w:eastAsia="zh-CN"/>
              </w:rPr>
              <w:t>2.项目组组成人数不少于3人，其中设项目经理1名。中标人项目组所有成员应认真负责，具有良好的合作精神及协作氛围，具备丰富的实施经验和良好的技术背景，能够快速理解采购人的数据和业务需求，并能够及时解决过程中的问题。中标人须承诺项目实施人员与投标文件所列人员一致，未经采购人书面批准，中标人不得变更项目组成员。</w:t>
            </w:r>
            <w:r>
              <w:rPr>
                <w:rFonts w:hint="eastAsia"/>
                <w:highlight w:val="none"/>
                <w:lang w:eastAsia="zh-CN"/>
              </w:rPr>
              <w:t>（提供承诺函，格式自拟）</w:t>
            </w:r>
          </w:p>
          <w:p>
            <w:pPr>
              <w:ind w:firstLine="420" w:firstLineChars="200"/>
              <w:rPr>
                <w:rFonts w:hint="eastAsia"/>
                <w:highlight w:val="none"/>
                <w:lang w:val="en-US" w:eastAsia="zh-CN"/>
              </w:rPr>
            </w:pPr>
            <w:r>
              <w:rPr>
                <w:rFonts w:hint="eastAsia"/>
                <w:highlight w:val="none"/>
                <w:lang w:val="en-US" w:eastAsia="zh-CN"/>
              </w:rPr>
              <w:t>3.中标人需根据项目需求编制项目组组织架构和职责分工，描述每个阶段投入的人员分工和资源计划，对于主要成员需要提供人员简历的说明。</w:t>
            </w:r>
          </w:p>
          <w:p>
            <w:pPr>
              <w:ind w:firstLine="420" w:firstLineChars="200"/>
              <w:rPr>
                <w:highlight w:val="none"/>
              </w:rPr>
            </w:pPr>
            <w:r>
              <w:rPr>
                <w:rFonts w:hint="eastAsia"/>
                <w:highlight w:val="none"/>
                <w:lang w:val="en-US" w:eastAsia="zh-CN"/>
              </w:rPr>
              <w:t>4.项目组成员须包含专业领域对口的人像资料执业资格的司法鉴定技术人员。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2" w:type="pct"/>
            <w:vAlign w:val="center"/>
          </w:tcPr>
          <w:p>
            <w:pPr>
              <w:spacing w:line="360" w:lineRule="auto"/>
              <w:jc w:val="center"/>
              <w:rPr>
                <w:rFonts w:hint="eastAsia"/>
                <w:highlight w:val="none"/>
                <w:lang w:eastAsia="zh-CN"/>
              </w:rPr>
            </w:pPr>
            <w:r>
              <w:rPr>
                <w:rFonts w:hint="eastAsia"/>
                <w:highlight w:val="none"/>
                <w:lang w:eastAsia="zh-CN"/>
              </w:rPr>
              <w:t>★</w:t>
            </w:r>
          </w:p>
        </w:tc>
        <w:tc>
          <w:tcPr>
            <w:tcW w:w="246" w:type="pct"/>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3500" w:type="pct"/>
          </w:tcPr>
          <w:p>
            <w:pPr>
              <w:ind w:firstLine="420" w:firstLineChars="200"/>
              <w:rPr>
                <w:highlight w:val="none"/>
              </w:rPr>
            </w:pPr>
            <w:r>
              <w:rPr>
                <w:rFonts w:hint="eastAsia"/>
                <w:highlight w:val="none"/>
                <w:lang w:eastAsia="zh-CN"/>
              </w:rPr>
              <w:t>★</w:t>
            </w:r>
            <w:r>
              <w:rPr>
                <w:rFonts w:hint="eastAsia"/>
                <w:highlight w:val="none"/>
                <w:lang w:val="en-US" w:eastAsia="zh-CN"/>
              </w:rPr>
              <w:t>5.任务进程要求。中标人每承接一份采购人的鉴定申请，都必须与采购人指定联系人进行核实确认，并做好相关鉴定信息的登记。每月要把接受委托鉴定情况函寄送或发电子文件至采购人指定联系人和办案单位处。中标人须每月制作、更新一次鉴定受理明细表，在每季度定期将鉴定受理明细表送达给采购人的指定联系人。</w:t>
            </w:r>
            <w:r>
              <w:rPr>
                <w:rFonts w:hint="eastAsia"/>
                <w:highlight w:val="none"/>
                <w:lang w:eastAsia="zh-CN"/>
              </w:rPr>
              <w:t>（提供承诺函，格式自拟）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52" w:type="pct"/>
            <w:vAlign w:val="center"/>
          </w:tcPr>
          <w:p>
            <w:pPr>
              <w:spacing w:line="360" w:lineRule="auto"/>
              <w:jc w:val="center"/>
              <w:rPr>
                <w:rFonts w:hint="eastAsia"/>
                <w:highlight w:val="none"/>
                <w:lang w:eastAsia="zh-CN"/>
              </w:rPr>
            </w:pPr>
          </w:p>
        </w:tc>
        <w:tc>
          <w:tcPr>
            <w:tcW w:w="246" w:type="pct"/>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3500" w:type="pct"/>
          </w:tcPr>
          <w:p>
            <w:pPr>
              <w:rPr>
                <w:rFonts w:hint="eastAsia"/>
                <w:highlight w:val="none"/>
                <w:lang w:val="en-US" w:eastAsia="zh-CN"/>
              </w:rPr>
            </w:pPr>
            <w:r>
              <w:rPr>
                <w:rFonts w:hint="eastAsia"/>
                <w:highlight w:val="none"/>
                <w:lang w:val="en-US" w:eastAsia="zh-CN"/>
              </w:rPr>
              <w:t xml:space="preserve">      6..因特殊工作需要，采购人需中标人安排鉴定员到达采购单位开展工作的，在6小时内安排鉴定人员到达。</w:t>
            </w:r>
          </w:p>
          <w:p>
            <w:pPr>
              <w:ind w:firstLine="630" w:firstLineChars="300"/>
              <w:rPr>
                <w:rFonts w:hint="eastAsia"/>
                <w:highlight w:val="none"/>
                <w:lang w:val="en-US" w:eastAsia="zh-CN"/>
              </w:rPr>
            </w:pPr>
            <w:r>
              <w:rPr>
                <w:rFonts w:hint="eastAsia"/>
                <w:highlight w:val="none"/>
                <w:lang w:val="en-US" w:eastAsia="zh-CN"/>
              </w:rPr>
              <w:t>7.中标人派遣持有鉴定资质人员驻点增城办公或驻点委托方单位办公，服务期内每天能在本地响应。</w:t>
            </w:r>
          </w:p>
          <w:p>
            <w:pPr>
              <w:ind w:firstLine="420" w:firstLineChars="200"/>
              <w:rPr>
                <w:rFonts w:hint="eastAsia"/>
                <w:highlight w:val="none"/>
                <w:lang w:val="en-US" w:eastAsia="zh-CN"/>
              </w:rPr>
            </w:pPr>
            <w:r>
              <w:rPr>
                <w:rFonts w:hint="eastAsia"/>
                <w:highlight w:val="none"/>
                <w:lang w:val="en-US" w:eastAsia="zh-CN"/>
              </w:rPr>
              <w:t>8.中标人协助提取检材样本的人员，须对该鉴定回避。</w:t>
            </w:r>
          </w:p>
          <w:p>
            <w:pPr>
              <w:ind w:firstLine="420" w:firstLineChars="200"/>
              <w:rPr>
                <w:rFonts w:hint="eastAsia"/>
                <w:highlight w:val="none"/>
                <w:lang w:eastAsia="zh-CN"/>
              </w:rPr>
            </w:pPr>
            <w:r>
              <w:rPr>
                <w:rFonts w:hint="eastAsia"/>
                <w:highlight w:val="none"/>
                <w:lang w:val="en-US" w:eastAsia="zh-CN"/>
              </w:rPr>
              <w:t>9.中标人要全程严格按照国家有关法律法规及采购人关于保密等要求提供服务，</w:t>
            </w:r>
            <w:r>
              <w:rPr>
                <w:rFonts w:hint="eastAsia"/>
                <w:highlight w:val="none"/>
                <w:lang w:eastAsia="zh-CN"/>
              </w:rPr>
              <w:t>对于管理不当、弄虚作假、徇私舞弊等造成服务项目泄密或造成其他负面影响负法律责任，采购人有权不退还中标人的履约保函，并中标人就造成采购人的损失另行赔偿，赔偿金额不超过合同总价的20%，并采购人可单方解除合同，同时保留追究中标人及其服务人员法律责任的权利。（提供承诺函，格式自拟）</w:t>
            </w:r>
          </w:p>
          <w:p>
            <w:pPr>
              <w:ind w:firstLine="420" w:firstLineChars="200"/>
              <w:rPr>
                <w:highlight w:val="none"/>
              </w:rPr>
            </w:pPr>
            <w:r>
              <w:rPr>
                <w:rFonts w:hint="eastAsia"/>
                <w:highlight w:val="none"/>
                <w:lang w:val="en-US" w:eastAsia="zh-CN"/>
              </w:rPr>
              <w:t>10</w:t>
            </w:r>
            <w:bookmarkStart w:id="0" w:name="_GoBack"/>
            <w:bookmarkEnd w:id="0"/>
            <w:r>
              <w:rPr>
                <w:rFonts w:hint="eastAsia"/>
                <w:highlight w:val="none"/>
                <w:lang w:val="en-US" w:eastAsia="zh-CN"/>
              </w:rPr>
              <w:t>.采购人因使用中标方出具的鉴定报告产生行政复议、行政诉讼或国家赔偿，中标方有关人员和经办事项人员应全程配合采购方工作并参与有关司法程序。根据《中华人民共和国刑事诉讼法》的规定，人民法院认为鉴定人有必要出庭作证的，鉴定人应根据法院出庭作证的通知，出庭作证，且采购人不承担出庭质证产生的所有费用。</w:t>
            </w:r>
            <w:r>
              <w:rPr>
                <w:rFonts w:hint="eastAsia"/>
                <w:highlight w:val="none"/>
                <w:lang w:eastAsia="zh-CN"/>
              </w:rPr>
              <w:t>（提供承诺函，格式自拟）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99" w:type="pct"/>
            <w:gridSpan w:val="2"/>
            <w:vAlign w:val="center"/>
          </w:tcPr>
          <w:p>
            <w:pPr>
              <w:spacing w:line="360" w:lineRule="auto"/>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说明</w:t>
            </w:r>
          </w:p>
        </w:tc>
        <w:tc>
          <w:tcPr>
            <w:tcW w:w="3500" w:type="pct"/>
          </w:tcPr>
          <w:p>
            <w:pPr>
              <w:ind w:firstLine="420" w:firstLineChars="200"/>
              <w:rPr>
                <w:rFonts w:hint="eastAsia"/>
                <w:highlight w:val="none"/>
                <w:lang w:val="en-US" w:eastAsia="zh-CN"/>
              </w:rPr>
            </w:pPr>
            <w:r>
              <w:rPr>
                <w:rFonts w:hint="eastAsia" w:ascii="宋体" w:hAnsi="宋体" w:eastAsia="宋体" w:cs="宋体"/>
                <w:highlight w:val="none"/>
              </w:rPr>
              <w:t>打“★”号条款为实质性条款，若有任何一条负偏离或不满足则导致投标（响应）无效。打“▲”号条款为重要技术参数（如有），若有部分“▲”条款未响应或不满足，将根据评审要求影响其得分，但不作为无效投标（响应）条款。</w:t>
            </w:r>
          </w:p>
        </w:tc>
      </w:tr>
    </w:tbl>
    <w:p>
      <w:pPr>
        <w:pStyle w:val="2"/>
        <w:rPr>
          <w:highlight w:val="none"/>
        </w:rPr>
        <w:sectPr>
          <w:pgSz w:w="11900" w:h="16840"/>
          <w:pgMar w:top="570" w:right="1236" w:bottom="845" w:left="1230" w:header="567" w:footer="601" w:gutter="0"/>
          <w:cols w:space="720" w:num="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1EE531"/>
    <w:multiLevelType w:val="singleLevel"/>
    <w:tmpl w:val="FC1EE531"/>
    <w:lvl w:ilvl="0" w:tentative="0">
      <w:start w:val="1"/>
      <w:numFmt w:val="chineseCounting"/>
      <w:suff w:val="nothing"/>
      <w:lvlText w:val="%1、"/>
      <w:lvlJc w:val="left"/>
      <w:rPr>
        <w:rFonts w:hint="eastAsia"/>
      </w:rPr>
    </w:lvl>
  </w:abstractNum>
  <w:abstractNum w:abstractNumId="1">
    <w:nsid w:val="34552561"/>
    <w:multiLevelType w:val="singleLevel"/>
    <w:tmpl w:val="345525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ZjY3NmNiZjViZTNkMjA2YzdkMzA2NzhhOWQyNmUifQ=="/>
  </w:docVars>
  <w:rsids>
    <w:rsidRoot w:val="41C25FED"/>
    <w:rsid w:val="41C25FED"/>
    <w:rsid w:val="5F594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eastAsiaTheme="minorEastAsia" w:cstheme="minorBidi"/>
      <w:sz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表格文字"/>
    <w:basedOn w:val="1"/>
    <w:qFormat/>
    <w:uiPriority w:val="0"/>
    <w:pPr>
      <w:spacing w:before="25" w:after="25"/>
      <w:jc w:val="left"/>
    </w:pPr>
    <w:rPr>
      <w:bCs/>
      <w:spacing w:val="1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14324</Words>
  <Characters>14839</Characters>
  <Lines>0</Lines>
  <Paragraphs>0</Paragraphs>
  <TotalTime>3</TotalTime>
  <ScaleCrop>false</ScaleCrop>
  <LinksUpToDate>false</LinksUpToDate>
  <CharactersWithSpaces>14918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2023-03-31T09:27:00Z</dcterms:created>
  <dc:creator>文雅</dc:creator>
  <cp:lastModifiedBy>文雅</cp:lastModifiedBy>
  <dcterms:modified xsi:type="dcterms:W3CDTF">2023-03-31T10:02:54Z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5D346928E2A54412B8FD7D6E333F2BE9_13</vt:lpwstr>
  </property>
</Properties>
</file>